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A894" w14:textId="62B31B7C" w:rsidR="00AA0DE4" w:rsidRPr="00AA0DE4" w:rsidRDefault="00AA0DE4" w:rsidP="00AA0DE4">
      <w:pPr>
        <w:rPr>
          <w:rFonts w:ascii="Calibri" w:hAnsi="Calibri" w:cs="Calibri"/>
          <w:b/>
          <w:bCs/>
          <w:color w:val="2E74B5" w:themeColor="accent1" w:themeShade="BF"/>
          <w:sz w:val="32"/>
          <w:szCs w:val="32"/>
          <w:lang w:val="hu-HU"/>
        </w:rPr>
      </w:pPr>
      <w:proofErr w:type="spellStart"/>
      <w:r w:rsidRPr="00AA0DE4">
        <w:rPr>
          <w:rFonts w:ascii="Calibri" w:hAnsi="Calibri" w:cs="Calibri"/>
          <w:b/>
          <w:bCs/>
          <w:color w:val="2E74B5" w:themeColor="accent1" w:themeShade="BF"/>
          <w:sz w:val="32"/>
          <w:szCs w:val="32"/>
          <w:lang w:val="hu-HU"/>
        </w:rPr>
        <w:t>Script</w:t>
      </w:r>
      <w:r w:rsidRPr="00AA0DE4">
        <w:rPr>
          <w:rFonts w:ascii="Calibri" w:hAnsi="Calibri" w:cs="Calibri"/>
          <w:b/>
          <w:bCs/>
          <w:color w:val="2E74B5" w:themeColor="accent1" w:themeShade="BF"/>
          <w:sz w:val="32"/>
          <w:szCs w:val="32"/>
          <w:lang w:val="hu-HU"/>
        </w:rPr>
        <w:t>_</w:t>
      </w:r>
      <w:r w:rsidRPr="00AA0DE4">
        <w:rPr>
          <w:rFonts w:ascii="Calibri" w:hAnsi="Calibri" w:cs="Calibri"/>
          <w:b/>
          <w:bCs/>
          <w:color w:val="2E74B5" w:themeColor="accent1" w:themeShade="BF"/>
          <w:sz w:val="32"/>
          <w:szCs w:val="32"/>
          <w:lang w:val="hu-HU"/>
        </w:rPr>
        <w:t>Working</w:t>
      </w:r>
      <w:proofErr w:type="spellEnd"/>
      <w:r w:rsidRPr="00AA0DE4">
        <w:rPr>
          <w:rFonts w:ascii="Calibri" w:hAnsi="Calibri" w:cs="Calibri"/>
          <w:b/>
          <w:bCs/>
          <w:color w:val="2E74B5" w:themeColor="accent1" w:themeShade="BF"/>
          <w:sz w:val="32"/>
          <w:szCs w:val="32"/>
          <w:lang w:val="hu-HU"/>
        </w:rPr>
        <w:t xml:space="preserve"> </w:t>
      </w:r>
      <w:proofErr w:type="spellStart"/>
      <w:r w:rsidRPr="00AA0DE4">
        <w:rPr>
          <w:rFonts w:ascii="Calibri" w:hAnsi="Calibri" w:cs="Calibri"/>
          <w:b/>
          <w:bCs/>
          <w:color w:val="2E74B5" w:themeColor="accent1" w:themeShade="BF"/>
          <w:sz w:val="32"/>
          <w:szCs w:val="32"/>
          <w:lang w:val="hu-HU"/>
        </w:rPr>
        <w:t>with</w:t>
      </w:r>
      <w:proofErr w:type="spellEnd"/>
      <w:r w:rsidRPr="00AA0DE4">
        <w:rPr>
          <w:rFonts w:ascii="Calibri" w:hAnsi="Calibri" w:cs="Calibri"/>
          <w:b/>
          <w:bCs/>
          <w:color w:val="2E74B5" w:themeColor="accent1" w:themeShade="BF"/>
          <w:sz w:val="32"/>
          <w:szCs w:val="32"/>
          <w:lang w:val="hu-HU"/>
        </w:rPr>
        <w:t xml:space="preserve"> Data</w:t>
      </w:r>
    </w:p>
    <w:p w14:paraId="012C003B" w14:textId="77777777" w:rsidR="00AA0DE4" w:rsidRDefault="00AA0DE4" w:rsidP="00AA0DE4">
      <w:pPr>
        <w:jc w:val="both"/>
        <w:rPr>
          <w:rFonts w:ascii="Calibri" w:hAnsi="Calibri" w:cs="Calibri"/>
          <w:b/>
          <w:bCs/>
          <w:lang w:val="hu-HU"/>
        </w:rPr>
      </w:pPr>
    </w:p>
    <w:p w14:paraId="29C52EA0" w14:textId="0C324FCC" w:rsidR="00AA0DE4" w:rsidRDefault="00AA0DE4" w:rsidP="00AA0DE4">
      <w:pPr>
        <w:jc w:val="both"/>
        <w:rPr>
          <w:rFonts w:ascii="Calibri" w:hAnsi="Calibri" w:cs="Calibri"/>
          <w:b/>
          <w:bCs/>
          <w:lang w:val="hu-HU"/>
        </w:rPr>
      </w:pPr>
      <w:proofErr w:type="spellStart"/>
      <w:r w:rsidRPr="000915EC">
        <w:rPr>
          <w:rFonts w:ascii="Calibri" w:hAnsi="Calibri" w:cs="Calibri"/>
          <w:b/>
          <w:bCs/>
          <w:lang w:val="hu-HU"/>
        </w:rPr>
        <w:t>Slide</w:t>
      </w:r>
      <w:proofErr w:type="spellEnd"/>
      <w:r w:rsidRPr="000915EC">
        <w:rPr>
          <w:rFonts w:ascii="Calibri" w:hAnsi="Calibri" w:cs="Calibri"/>
          <w:b/>
          <w:bCs/>
          <w:lang w:val="hu-HU"/>
        </w:rPr>
        <w:t xml:space="preserve"> 1: </w:t>
      </w:r>
      <w:proofErr w:type="spellStart"/>
      <w:r w:rsidRPr="000915EC">
        <w:rPr>
          <w:rFonts w:ascii="Calibri" w:hAnsi="Calibri" w:cs="Calibri"/>
          <w:b/>
          <w:bCs/>
          <w:lang w:val="hu-HU"/>
        </w:rPr>
        <w:t>Welcome</w:t>
      </w:r>
      <w:proofErr w:type="spellEnd"/>
    </w:p>
    <w:p w14:paraId="0C9A8971" w14:textId="77777777" w:rsidR="00AA0DE4" w:rsidRPr="0062514D" w:rsidRDefault="00AA0DE4" w:rsidP="00AA0DE4">
      <w:pPr>
        <w:jc w:val="both"/>
        <w:rPr>
          <w:rFonts w:ascii="Calibri" w:hAnsi="Calibri" w:cs="Calibri"/>
          <w:b/>
          <w:bCs/>
          <w:lang w:val="hu-HU"/>
        </w:rPr>
      </w:pPr>
      <w:r w:rsidRPr="0062514D">
        <w:rPr>
          <w:rFonts w:ascii="Calibri" w:hAnsi="Calibri" w:cs="Calibri"/>
        </w:rPr>
        <w:t xml:space="preserve">Hello and welcome to this </w:t>
      </w:r>
      <w:r>
        <w:rPr>
          <w:rFonts w:ascii="Calibri" w:hAnsi="Calibri" w:cs="Calibri"/>
        </w:rPr>
        <w:t>lesson</w:t>
      </w:r>
      <w:r w:rsidRPr="0062514D">
        <w:rPr>
          <w:rFonts w:ascii="Calibri" w:hAnsi="Calibri" w:cs="Calibri"/>
        </w:rPr>
        <w:t xml:space="preserve"> on Working with Data. </w:t>
      </w:r>
    </w:p>
    <w:p w14:paraId="1F977B4F" w14:textId="77777777" w:rsidR="00AA0DE4" w:rsidRPr="0062514D" w:rsidRDefault="00AA0DE4" w:rsidP="00AA0DE4">
      <w:pPr>
        <w:jc w:val="both"/>
        <w:rPr>
          <w:rFonts w:ascii="Calibri" w:hAnsi="Calibri" w:cs="Calibri"/>
          <w:b/>
          <w:bCs/>
        </w:rPr>
      </w:pPr>
      <w:r w:rsidRPr="0062514D">
        <w:rPr>
          <w:rFonts w:ascii="Calibri" w:hAnsi="Calibri" w:cs="Calibri"/>
          <w:b/>
          <w:bCs/>
        </w:rPr>
        <w:t>Slide 2: Overview of Contents</w:t>
      </w:r>
    </w:p>
    <w:p w14:paraId="11625593" w14:textId="77777777" w:rsidR="00AA0DE4" w:rsidRPr="0062514D" w:rsidRDefault="00AA0DE4" w:rsidP="00AA0DE4">
      <w:pPr>
        <w:jc w:val="both"/>
        <w:rPr>
          <w:rFonts w:ascii="Calibri" w:hAnsi="Calibri" w:cs="Calibri"/>
        </w:rPr>
      </w:pPr>
      <w:r w:rsidRPr="0062514D">
        <w:rPr>
          <w:rFonts w:ascii="Calibri" w:hAnsi="Calibri" w:cs="Calibri"/>
        </w:rPr>
        <w:t xml:space="preserve">We’ll start by exploring the characteristics of data and the principles of data quality, which are foundational to effective data management. Then, we’ll move into healthcare data handling principles, focusing on how to protect sensitive patient information. Lastly, we’ll discuss how to present data effectively and how to avoid common pitfalls. </w:t>
      </w:r>
    </w:p>
    <w:p w14:paraId="0479B402" w14:textId="77777777" w:rsidR="00AA0DE4" w:rsidRPr="0062514D" w:rsidRDefault="00AA0DE4" w:rsidP="00AA0DE4">
      <w:pPr>
        <w:jc w:val="both"/>
        <w:rPr>
          <w:rFonts w:ascii="Calibri" w:hAnsi="Calibri" w:cs="Calibri"/>
          <w:b/>
          <w:bCs/>
        </w:rPr>
      </w:pPr>
      <w:r w:rsidRPr="0062514D">
        <w:rPr>
          <w:rFonts w:ascii="Calibri" w:hAnsi="Calibri" w:cs="Calibri"/>
          <w:b/>
          <w:bCs/>
        </w:rPr>
        <w:t>Slide 3: Learning Objectives</w:t>
      </w:r>
    </w:p>
    <w:p w14:paraId="4BFB6EC4" w14:textId="77777777" w:rsidR="00AA0DE4" w:rsidRPr="0062514D" w:rsidRDefault="00AA0DE4" w:rsidP="00AA0DE4">
      <w:pPr>
        <w:jc w:val="both"/>
        <w:rPr>
          <w:rFonts w:ascii="Calibri" w:hAnsi="Calibri" w:cs="Calibri"/>
        </w:rPr>
      </w:pPr>
      <w:r w:rsidRPr="0062514D">
        <w:rPr>
          <w:rFonts w:ascii="Calibri" w:hAnsi="Calibri" w:cs="Calibri"/>
        </w:rPr>
        <w:t>By the end of this module, you will have developed key competencies in managing healthcare data. You will be able to categorize different types of healthcare data, apply ethical and legal standards, and ensure data security. You’ll also learn how to differentiate between personal, anonymized, and pseudonymized data, use data visualization tools effectively, and critically assess healthcare data for informed decision-making. Let’s now take a deeper look into what working with healthcare data entails.</w:t>
      </w:r>
    </w:p>
    <w:p w14:paraId="07D53E55" w14:textId="77777777" w:rsidR="00AA0DE4" w:rsidRPr="0062514D" w:rsidRDefault="00AA0DE4" w:rsidP="00AA0DE4">
      <w:pPr>
        <w:jc w:val="both"/>
        <w:rPr>
          <w:rFonts w:ascii="Calibri" w:hAnsi="Calibri" w:cs="Calibri"/>
          <w:b/>
          <w:bCs/>
        </w:rPr>
      </w:pPr>
      <w:r w:rsidRPr="0062514D">
        <w:rPr>
          <w:rFonts w:ascii="Calibri" w:hAnsi="Calibri" w:cs="Calibri"/>
          <w:b/>
          <w:bCs/>
        </w:rPr>
        <w:t>Slide 4: Introduction</w:t>
      </w:r>
    </w:p>
    <w:p w14:paraId="1AC4F04A" w14:textId="77777777" w:rsidR="00AA0DE4" w:rsidRPr="0062514D" w:rsidRDefault="00AA0DE4" w:rsidP="00AA0DE4">
      <w:pPr>
        <w:jc w:val="both"/>
        <w:rPr>
          <w:rFonts w:ascii="Calibri" w:hAnsi="Calibri" w:cs="Calibri"/>
        </w:rPr>
      </w:pPr>
      <w:r w:rsidRPr="0062514D">
        <w:rPr>
          <w:rFonts w:ascii="Calibri" w:hAnsi="Calibri" w:cs="Calibri"/>
        </w:rPr>
        <w:t>In today’s data-driven healthcare environment, understanding how to handle data is more important than ever. This session introduces the key aspects of managing healthcare data, such as the types of data, ethical handling, and effective data presentation. We will emphasize how important it is to handle patient information responsibly, ensuring both quality and security, while complying with regulations like GDPR. As we proceed, keep in mind that healthcare data can easily be misinterpreted, so critical thinking is essential to avoid errors.</w:t>
      </w:r>
    </w:p>
    <w:p w14:paraId="1042FD36" w14:textId="77777777" w:rsidR="00AA0DE4" w:rsidRPr="0062514D" w:rsidRDefault="00AA0DE4" w:rsidP="00AA0DE4">
      <w:pPr>
        <w:jc w:val="both"/>
        <w:rPr>
          <w:rFonts w:ascii="Calibri" w:hAnsi="Calibri" w:cs="Calibri"/>
          <w:b/>
          <w:bCs/>
        </w:rPr>
      </w:pPr>
      <w:r w:rsidRPr="00450578">
        <w:rPr>
          <w:rFonts w:ascii="Calibri" w:hAnsi="Calibri" w:cs="Calibri"/>
          <w:b/>
          <w:bCs/>
          <w:highlight w:val="yellow"/>
        </w:rPr>
        <w:t xml:space="preserve">Slide 5: </w:t>
      </w:r>
      <w:r>
        <w:rPr>
          <w:rFonts w:ascii="Calibri" w:hAnsi="Calibri" w:cs="Calibri"/>
          <w:b/>
          <w:bCs/>
          <w:highlight w:val="yellow"/>
        </w:rPr>
        <w:t>Characteristics of data transition</w:t>
      </w:r>
      <w:r w:rsidRPr="00450578">
        <w:rPr>
          <w:rFonts w:ascii="Calibri" w:hAnsi="Calibri" w:cs="Calibri"/>
          <w:b/>
          <w:bCs/>
          <w:highlight w:val="yellow"/>
        </w:rPr>
        <w:t xml:space="preserve"> (no script)</w:t>
      </w:r>
    </w:p>
    <w:p w14:paraId="74F8A82D" w14:textId="77777777" w:rsidR="00AA0DE4" w:rsidRPr="0062514D" w:rsidRDefault="00AA0DE4" w:rsidP="00AA0DE4">
      <w:pPr>
        <w:jc w:val="both"/>
        <w:rPr>
          <w:rFonts w:ascii="Calibri" w:hAnsi="Calibri" w:cs="Calibri"/>
          <w:b/>
          <w:bCs/>
        </w:rPr>
      </w:pPr>
      <w:r w:rsidRPr="0062514D">
        <w:rPr>
          <w:rFonts w:ascii="Calibri" w:hAnsi="Calibri" w:cs="Calibri"/>
          <w:b/>
          <w:bCs/>
        </w:rPr>
        <w:t>Slide 6: Types of Data in Healthcare</w:t>
      </w:r>
    </w:p>
    <w:p w14:paraId="0258C2F5" w14:textId="77777777" w:rsidR="00AA0DE4" w:rsidRPr="00450578" w:rsidRDefault="00AA0DE4" w:rsidP="00AA0DE4">
      <w:pPr>
        <w:jc w:val="both"/>
        <w:rPr>
          <w:rFonts w:ascii="Calibri" w:hAnsi="Calibri" w:cs="Calibri"/>
        </w:rPr>
      </w:pPr>
      <w:r w:rsidRPr="0062514D">
        <w:rPr>
          <w:rFonts w:ascii="Calibri" w:hAnsi="Calibri" w:cs="Calibri"/>
        </w:rPr>
        <w:t xml:space="preserve">Healthcare data comes in many forms, and understanding the different types is essential for managing it properly. While we previously discussed classifications </w:t>
      </w:r>
      <w:r w:rsidRPr="00450578">
        <w:rPr>
          <w:rFonts w:ascii="Calibri" w:hAnsi="Calibri" w:cs="Calibri"/>
        </w:rPr>
        <w:t xml:space="preserve">from the </w:t>
      </w:r>
      <w:proofErr w:type="spellStart"/>
      <w:r w:rsidRPr="00450578">
        <w:rPr>
          <w:rFonts w:ascii="Calibri" w:hAnsi="Calibri" w:cs="Calibri"/>
        </w:rPr>
        <w:t>regulational</w:t>
      </w:r>
      <w:proofErr w:type="spellEnd"/>
      <w:r w:rsidRPr="00450578">
        <w:rPr>
          <w:rFonts w:ascii="Calibri" w:hAnsi="Calibri" w:cs="Calibri"/>
        </w:rPr>
        <w:t xml:space="preserve"> point of view</w:t>
      </w:r>
      <w:r>
        <w:rPr>
          <w:rFonts w:ascii="Calibri" w:hAnsi="Calibri" w:cs="Calibri"/>
        </w:rPr>
        <w:t>, like</w:t>
      </w:r>
      <w:r w:rsidRPr="00450578">
        <w:rPr>
          <w:rFonts w:ascii="Calibri" w:hAnsi="Calibri" w:cs="Calibri"/>
        </w:rPr>
        <w:t xml:space="preserve"> open data, personal data, etc</w:t>
      </w:r>
      <w:r>
        <w:rPr>
          <w:rFonts w:ascii="Calibri" w:hAnsi="Calibri" w:cs="Calibri"/>
        </w:rPr>
        <w:t>.</w:t>
      </w:r>
      <w:r w:rsidRPr="0062514D">
        <w:rPr>
          <w:rFonts w:ascii="Calibri" w:hAnsi="Calibri" w:cs="Calibri"/>
        </w:rPr>
        <w:t xml:space="preserve">, we’ll now dive deeper into technical categories. Knowing the type of </w:t>
      </w:r>
      <w:proofErr w:type="gramStart"/>
      <w:r w:rsidRPr="0062514D">
        <w:rPr>
          <w:rFonts w:ascii="Calibri" w:hAnsi="Calibri" w:cs="Calibri"/>
        </w:rPr>
        <w:t>data</w:t>
      </w:r>
      <w:proofErr w:type="gramEnd"/>
      <w:r w:rsidRPr="0062514D">
        <w:rPr>
          <w:rFonts w:ascii="Calibri" w:hAnsi="Calibri" w:cs="Calibri"/>
        </w:rPr>
        <w:t xml:space="preserve"> you’re dealing with ensures you follow the correct protocols for protection and usage. </w:t>
      </w:r>
      <w:r w:rsidRPr="00BF1D76">
        <w:t>For instance, identifying personal health data versus anonymous data will guide how securely it should be stored or transmitted. Familiarity with structured vs. unstructured data allows you to use the correct systems for documentation and analysis.</w:t>
      </w:r>
    </w:p>
    <w:p w14:paraId="223BE72E" w14:textId="77777777" w:rsidR="00AA0DE4" w:rsidRPr="0062514D" w:rsidRDefault="00AA0DE4" w:rsidP="00AA0DE4">
      <w:pPr>
        <w:jc w:val="both"/>
        <w:rPr>
          <w:rFonts w:ascii="Calibri" w:hAnsi="Calibri" w:cs="Calibri"/>
          <w:b/>
          <w:bCs/>
        </w:rPr>
      </w:pPr>
      <w:r w:rsidRPr="0062514D">
        <w:rPr>
          <w:rFonts w:ascii="Calibri" w:hAnsi="Calibri" w:cs="Calibri"/>
          <w:b/>
          <w:bCs/>
        </w:rPr>
        <w:t>Slide 7: Importance of Data Quality in Healthcare</w:t>
      </w:r>
    </w:p>
    <w:p w14:paraId="6F208FB3" w14:textId="77777777" w:rsidR="00AA0DE4" w:rsidRDefault="00AA0DE4" w:rsidP="00AA0DE4">
      <w:pPr>
        <w:jc w:val="both"/>
      </w:pPr>
      <w:r w:rsidRPr="0062514D">
        <w:rPr>
          <w:rFonts w:ascii="Calibri" w:hAnsi="Calibri" w:cs="Calibri"/>
        </w:rPr>
        <w:t xml:space="preserve">Data quality in healthcare is paramount—without it, patient safety and treatment outcomes could be compromised. Everyone plays a role in maintaining data quality, from IT professionals to frontline healthcare staff. Simple actions like accurate data entry and timely updates contribute significantly to better patient outcomes. </w:t>
      </w:r>
      <w:r w:rsidRPr="00BF1D76">
        <w:t>Adhering to privacy protocols protects sensitive information, while standardized forms and electronic health records promote interoperability and machine-readability.</w:t>
      </w:r>
    </w:p>
    <w:p w14:paraId="4F35BB84" w14:textId="77777777" w:rsidR="00AA0DE4" w:rsidRPr="0062514D" w:rsidRDefault="00AA0DE4" w:rsidP="00AA0DE4">
      <w:pPr>
        <w:jc w:val="both"/>
        <w:rPr>
          <w:rFonts w:ascii="Calibri" w:hAnsi="Calibri" w:cs="Calibri"/>
          <w:b/>
          <w:bCs/>
        </w:rPr>
      </w:pPr>
      <w:r w:rsidRPr="0062514D">
        <w:rPr>
          <w:rFonts w:ascii="Calibri" w:hAnsi="Calibri" w:cs="Calibri"/>
          <w:b/>
          <w:bCs/>
        </w:rPr>
        <w:t>Slide 8: Data Quality and Governance</w:t>
      </w:r>
    </w:p>
    <w:p w14:paraId="5B678999" w14:textId="77777777" w:rsidR="00AA0DE4" w:rsidRPr="0062514D" w:rsidRDefault="00AA0DE4" w:rsidP="00AA0DE4">
      <w:pPr>
        <w:jc w:val="both"/>
        <w:rPr>
          <w:rFonts w:ascii="Calibri" w:hAnsi="Calibri" w:cs="Calibri"/>
        </w:rPr>
      </w:pPr>
      <w:r>
        <w:rPr>
          <w:rFonts w:ascii="Calibri" w:hAnsi="Calibri" w:cs="Calibri"/>
        </w:rPr>
        <w:lastRenderedPageBreak/>
        <w:t xml:space="preserve">Data quality can be defined according to the needs of healthcare </w:t>
      </w:r>
      <w:r w:rsidRPr="0062514D">
        <w:rPr>
          <w:rFonts w:ascii="Calibri" w:hAnsi="Calibri" w:cs="Calibri"/>
        </w:rPr>
        <w:t>governance</w:t>
      </w:r>
      <w:r>
        <w:rPr>
          <w:rFonts w:ascii="Calibri" w:hAnsi="Calibri" w:cs="Calibri"/>
        </w:rPr>
        <w:t xml:space="preserve"> and the management of healthcare </w:t>
      </w:r>
      <w:proofErr w:type="spellStart"/>
      <w:r>
        <w:rPr>
          <w:rFonts w:ascii="Calibri" w:hAnsi="Calibri" w:cs="Calibri"/>
        </w:rPr>
        <w:t>organisations</w:t>
      </w:r>
      <w:proofErr w:type="spellEnd"/>
      <w:r>
        <w:rPr>
          <w:rFonts w:ascii="Calibri" w:hAnsi="Calibri" w:cs="Calibri"/>
        </w:rPr>
        <w:t xml:space="preserve"> too. To ensure adequate support for decision-making, </w:t>
      </w:r>
      <w:r w:rsidRPr="0062514D">
        <w:rPr>
          <w:rFonts w:ascii="Calibri" w:hAnsi="Calibri" w:cs="Calibri"/>
        </w:rPr>
        <w:t xml:space="preserve">data </w:t>
      </w:r>
      <w:r>
        <w:rPr>
          <w:rFonts w:ascii="Calibri" w:hAnsi="Calibri" w:cs="Calibri"/>
        </w:rPr>
        <w:t>should be</w:t>
      </w:r>
      <w:r w:rsidRPr="0062514D">
        <w:rPr>
          <w:rFonts w:ascii="Calibri" w:hAnsi="Calibri" w:cs="Calibri"/>
        </w:rPr>
        <w:t xml:space="preserve"> discoverable, machine-readable, protected, and interoperable. These attributes allow for the efficient and secure sharing of data across different healthcare systems, which is vital in today’s interconnected world. </w:t>
      </w:r>
    </w:p>
    <w:p w14:paraId="2E1699D6" w14:textId="77777777" w:rsidR="00AA0DE4" w:rsidRPr="0062514D" w:rsidRDefault="00AA0DE4" w:rsidP="00AA0DE4">
      <w:pPr>
        <w:jc w:val="both"/>
        <w:rPr>
          <w:rFonts w:ascii="Calibri" w:hAnsi="Calibri" w:cs="Calibri"/>
          <w:b/>
          <w:bCs/>
        </w:rPr>
      </w:pPr>
      <w:r w:rsidRPr="0062514D">
        <w:rPr>
          <w:rFonts w:ascii="Calibri" w:hAnsi="Calibri" w:cs="Calibri"/>
          <w:b/>
          <w:bCs/>
        </w:rPr>
        <w:t>Slide 9: Transition to Data Handling Principles</w:t>
      </w:r>
    </w:p>
    <w:p w14:paraId="341865C2" w14:textId="77777777" w:rsidR="00AA0DE4" w:rsidRPr="0062514D" w:rsidRDefault="00AA0DE4" w:rsidP="00AA0DE4">
      <w:pPr>
        <w:jc w:val="both"/>
        <w:rPr>
          <w:rFonts w:ascii="Calibri" w:hAnsi="Calibri" w:cs="Calibri"/>
        </w:rPr>
      </w:pPr>
      <w:r w:rsidRPr="0062514D">
        <w:rPr>
          <w:rFonts w:ascii="Calibri" w:hAnsi="Calibri" w:cs="Calibri"/>
        </w:rPr>
        <w:t xml:space="preserve">Now that we’ve explored the importance of data quality and governance, let’s move into the key principles of healthcare data handling. This will focus on how we manage sensitive patient information in a secure and compliant way. </w:t>
      </w:r>
    </w:p>
    <w:p w14:paraId="2704941A" w14:textId="77777777" w:rsidR="00AA0DE4" w:rsidRPr="0062514D" w:rsidRDefault="00AA0DE4" w:rsidP="00AA0DE4">
      <w:pPr>
        <w:jc w:val="both"/>
        <w:rPr>
          <w:rFonts w:ascii="Calibri" w:hAnsi="Calibri" w:cs="Calibri"/>
          <w:b/>
          <w:bCs/>
        </w:rPr>
      </w:pPr>
      <w:r w:rsidRPr="0062514D">
        <w:rPr>
          <w:rFonts w:ascii="Calibri" w:hAnsi="Calibri" w:cs="Calibri"/>
          <w:b/>
          <w:bCs/>
        </w:rPr>
        <w:t>Slide 10: What is Personal Data?</w:t>
      </w:r>
    </w:p>
    <w:p w14:paraId="75B26E00" w14:textId="77777777" w:rsidR="00AA0DE4" w:rsidRPr="0062514D" w:rsidRDefault="00AA0DE4" w:rsidP="00AA0DE4">
      <w:pPr>
        <w:jc w:val="both"/>
        <w:rPr>
          <w:rFonts w:ascii="Calibri" w:hAnsi="Calibri" w:cs="Calibri"/>
        </w:rPr>
      </w:pPr>
      <w:r w:rsidRPr="0062514D">
        <w:rPr>
          <w:rFonts w:ascii="Calibri" w:hAnsi="Calibri" w:cs="Calibri"/>
        </w:rPr>
        <w:t>Let’s begin by understanding what constitutes personal data in healthcare.</w:t>
      </w:r>
      <w:r>
        <w:rPr>
          <w:rFonts w:ascii="Calibri" w:hAnsi="Calibri" w:cs="Calibri"/>
        </w:rPr>
        <w:t xml:space="preserve"> </w:t>
      </w:r>
      <w:r w:rsidRPr="0062514D">
        <w:rPr>
          <w:rFonts w:ascii="Calibri" w:hAnsi="Calibri" w:cs="Calibri"/>
        </w:rPr>
        <w:t xml:space="preserve">Personal data includes any information that can identify an individual, from their social security number to biometric data like fingerprints. In healthcare, protecting this data is not just a legal </w:t>
      </w:r>
      <w:proofErr w:type="gramStart"/>
      <w:r w:rsidRPr="0062514D">
        <w:rPr>
          <w:rFonts w:ascii="Calibri" w:hAnsi="Calibri" w:cs="Calibri"/>
        </w:rPr>
        <w:t>requirement—</w:t>
      </w:r>
      <w:proofErr w:type="gramEnd"/>
      <w:r w:rsidRPr="0062514D">
        <w:rPr>
          <w:rFonts w:ascii="Calibri" w:hAnsi="Calibri" w:cs="Calibri"/>
        </w:rPr>
        <w:t xml:space="preserve">it’s essential for maintaining patient trust. Understanding what qualifies as personal data helps ensure we manage it in compliance with regulations like GDPR. </w:t>
      </w:r>
    </w:p>
    <w:p w14:paraId="5932FDEB" w14:textId="77777777" w:rsidR="00AA0DE4" w:rsidRPr="0062514D" w:rsidRDefault="00AA0DE4" w:rsidP="00AA0DE4">
      <w:pPr>
        <w:jc w:val="both"/>
        <w:rPr>
          <w:rFonts w:ascii="Calibri" w:hAnsi="Calibri" w:cs="Calibri"/>
          <w:b/>
          <w:bCs/>
        </w:rPr>
      </w:pPr>
      <w:r w:rsidRPr="0062514D">
        <w:rPr>
          <w:rFonts w:ascii="Calibri" w:hAnsi="Calibri" w:cs="Calibri"/>
          <w:b/>
          <w:bCs/>
        </w:rPr>
        <w:t>Slide 11: De-Identification of Health Data</w:t>
      </w:r>
    </w:p>
    <w:p w14:paraId="14440D65" w14:textId="77777777" w:rsidR="00AA0DE4" w:rsidRPr="0062514D" w:rsidRDefault="00AA0DE4" w:rsidP="00AA0DE4">
      <w:pPr>
        <w:jc w:val="both"/>
        <w:rPr>
          <w:rFonts w:ascii="Calibri" w:hAnsi="Calibri" w:cs="Calibri"/>
        </w:rPr>
      </w:pPr>
      <w:r w:rsidRPr="0062514D">
        <w:rPr>
          <w:rFonts w:ascii="Calibri" w:hAnsi="Calibri" w:cs="Calibri"/>
        </w:rPr>
        <w:t>Even after data is de-identified or pseudonymized, it may still fall under data protection laws if it can be re-identified. Only data that has been fully anonymized is exempt from these protections. This distinction is key for ensuring legal compliance, especially under GDPR. Now, let’s review the guiding principles for protecting healthcare data.</w:t>
      </w:r>
    </w:p>
    <w:p w14:paraId="11C29A2F" w14:textId="77777777" w:rsidR="00AA0DE4" w:rsidRPr="0062514D" w:rsidRDefault="00AA0DE4" w:rsidP="00AA0DE4">
      <w:pPr>
        <w:jc w:val="both"/>
        <w:rPr>
          <w:rFonts w:ascii="Calibri" w:hAnsi="Calibri" w:cs="Calibri"/>
          <w:b/>
          <w:bCs/>
        </w:rPr>
      </w:pPr>
      <w:r w:rsidRPr="0062514D">
        <w:rPr>
          <w:rFonts w:ascii="Calibri" w:hAnsi="Calibri" w:cs="Calibri"/>
          <w:b/>
          <w:bCs/>
        </w:rPr>
        <w:t>Slide 12: Key Data Protection Principles</w:t>
      </w:r>
    </w:p>
    <w:p w14:paraId="71A1C348" w14:textId="77777777" w:rsidR="00AA0DE4" w:rsidRPr="0062514D" w:rsidRDefault="00AA0DE4" w:rsidP="00AA0DE4">
      <w:pPr>
        <w:jc w:val="both"/>
        <w:rPr>
          <w:rFonts w:ascii="Calibri" w:hAnsi="Calibri" w:cs="Calibri"/>
        </w:rPr>
      </w:pPr>
      <w:r w:rsidRPr="0062514D">
        <w:rPr>
          <w:rFonts w:ascii="Calibri" w:hAnsi="Calibri" w:cs="Calibri"/>
        </w:rPr>
        <w:t>Several core principles guide data protection in healthcare, such as fairness, lawfulness, transparency, and data minimization. These principles ensure that data is processed ethically and securely. For a more detailed explanation of each principle, click on the interactive fields provided. Now, let’s take a closer look at the role of GDPR in healthcare data protection.</w:t>
      </w:r>
    </w:p>
    <w:p w14:paraId="65CD8290" w14:textId="77777777" w:rsidR="00AA0DE4" w:rsidRPr="0062514D" w:rsidRDefault="00AA0DE4" w:rsidP="00AA0DE4">
      <w:pPr>
        <w:jc w:val="both"/>
        <w:rPr>
          <w:rFonts w:ascii="Calibri" w:hAnsi="Calibri" w:cs="Calibri"/>
          <w:b/>
          <w:bCs/>
        </w:rPr>
      </w:pPr>
      <w:r w:rsidRPr="0062514D">
        <w:rPr>
          <w:rFonts w:ascii="Calibri" w:hAnsi="Calibri" w:cs="Calibri"/>
          <w:b/>
          <w:bCs/>
        </w:rPr>
        <w:t>Slide 13: GDPR and Healthcare Data</w:t>
      </w:r>
    </w:p>
    <w:p w14:paraId="1816AD40" w14:textId="77777777" w:rsidR="00AA0DE4" w:rsidRPr="0062514D" w:rsidRDefault="00AA0DE4" w:rsidP="00AA0DE4">
      <w:pPr>
        <w:jc w:val="both"/>
        <w:rPr>
          <w:rFonts w:ascii="Calibri" w:hAnsi="Calibri" w:cs="Calibri"/>
        </w:rPr>
      </w:pPr>
      <w:r w:rsidRPr="0062514D">
        <w:rPr>
          <w:rFonts w:ascii="Calibri" w:hAnsi="Calibri" w:cs="Calibri"/>
        </w:rPr>
        <w:t>GDPR, or the General Data Protection Regulation, is the leading legislation governing personal data protection in the EU. It has had a significant impact on healthcare data management globally, influencing similar laws in other regions. Healthcare providers must follow strict guidelines to protect patient data and implement security measures. With that said, let’s dive into the lawful basis for processing healthcare data under GDPR.</w:t>
      </w:r>
    </w:p>
    <w:p w14:paraId="3901290C" w14:textId="77777777" w:rsidR="00AA0DE4" w:rsidRPr="0062514D" w:rsidRDefault="00AA0DE4" w:rsidP="00AA0DE4">
      <w:pPr>
        <w:jc w:val="both"/>
        <w:rPr>
          <w:rFonts w:ascii="Calibri" w:hAnsi="Calibri" w:cs="Calibri"/>
          <w:b/>
          <w:bCs/>
        </w:rPr>
      </w:pPr>
      <w:r w:rsidRPr="0062514D">
        <w:rPr>
          <w:rFonts w:ascii="Calibri" w:hAnsi="Calibri" w:cs="Calibri"/>
          <w:b/>
          <w:bCs/>
        </w:rPr>
        <w:t>Slide 14: Lawful Basis for Data Processing</w:t>
      </w:r>
    </w:p>
    <w:p w14:paraId="7C907F0F" w14:textId="77777777" w:rsidR="00AA0DE4" w:rsidRPr="0062514D" w:rsidRDefault="00AA0DE4" w:rsidP="00AA0DE4">
      <w:pPr>
        <w:jc w:val="both"/>
        <w:rPr>
          <w:rFonts w:ascii="Calibri" w:hAnsi="Calibri" w:cs="Calibri"/>
        </w:rPr>
      </w:pPr>
      <w:r w:rsidRPr="0062514D">
        <w:rPr>
          <w:rFonts w:ascii="Calibri" w:hAnsi="Calibri" w:cs="Calibri"/>
        </w:rPr>
        <w:t>Under GDPR, personal health data can only be processed if a lawful basis is identified. These bases include informed consent, legal obligations, or vital interests, among others. Identifying the correct legal basis is crucial for compliance. Speaking of consent, let’s discuss how to properly obtain and document informed consent from patients.</w:t>
      </w:r>
    </w:p>
    <w:p w14:paraId="4E674A26" w14:textId="77777777" w:rsidR="00AA0DE4" w:rsidRPr="0053088D" w:rsidRDefault="00AA0DE4" w:rsidP="00AA0DE4">
      <w:pPr>
        <w:jc w:val="both"/>
        <w:rPr>
          <w:rFonts w:ascii="Calibri" w:hAnsi="Calibri" w:cs="Calibri"/>
          <w:b/>
          <w:bCs/>
        </w:rPr>
      </w:pPr>
      <w:r w:rsidRPr="0053088D">
        <w:rPr>
          <w:rFonts w:ascii="Calibri" w:hAnsi="Calibri" w:cs="Calibri"/>
          <w:b/>
          <w:bCs/>
        </w:rPr>
        <w:t>Slide 15: Informed Consent</w:t>
      </w:r>
    </w:p>
    <w:p w14:paraId="6B947CA1" w14:textId="77777777" w:rsidR="00AA0DE4" w:rsidRDefault="00AA0DE4" w:rsidP="00AA0DE4">
      <w:pPr>
        <w:jc w:val="both"/>
        <w:rPr>
          <w:rFonts w:ascii="Calibri" w:hAnsi="Calibri" w:cs="Calibri"/>
        </w:rPr>
      </w:pPr>
      <w:r w:rsidRPr="005C60F0">
        <w:rPr>
          <w:rFonts w:ascii="Calibri" w:hAnsi="Calibri" w:cs="Calibri"/>
        </w:rPr>
        <w:t xml:space="preserve">With respect to obtaining informed consent from a data subject –such as a patient- it is crucial to clarify that he or she must have a real choice and control. In fact, the consent requires a positive opt-in from the data subject, with a clear expression of his/her will. </w:t>
      </w:r>
      <w:r>
        <w:rPr>
          <w:rFonts w:ascii="Calibri" w:hAnsi="Calibri" w:cs="Calibri"/>
        </w:rPr>
        <w:t>C</w:t>
      </w:r>
      <w:r w:rsidRPr="005C60F0">
        <w:rPr>
          <w:rFonts w:ascii="Calibri" w:hAnsi="Calibri" w:cs="Calibri"/>
        </w:rPr>
        <w:t xml:space="preserve">onsent should be specific and granular – in </w:t>
      </w:r>
      <w:r w:rsidRPr="005C60F0">
        <w:rPr>
          <w:rFonts w:ascii="Calibri" w:hAnsi="Calibri" w:cs="Calibri"/>
        </w:rPr>
        <w:lastRenderedPageBreak/>
        <w:t xml:space="preserve">particular, in relation to the purpose of the processing. Broad consent, on the other hand, may also be acceptable in some cases. An example is the scenario whereby the data subject contributes to a public health or research infrastructure, such as a national biobank. Another key aspect of the informed consent process is proper documentation, which should be clear, concise and in a language accessible to the data subjects. In addition, data subjects should have adequate time to consider their </w:t>
      </w:r>
      <w:proofErr w:type="gramStart"/>
      <w:r w:rsidRPr="005C60F0">
        <w:rPr>
          <w:rFonts w:ascii="Calibri" w:hAnsi="Calibri" w:cs="Calibri"/>
        </w:rPr>
        <w:t>choice, and</w:t>
      </w:r>
      <w:proofErr w:type="gramEnd"/>
      <w:r w:rsidRPr="005C60F0">
        <w:rPr>
          <w:rFonts w:ascii="Calibri" w:hAnsi="Calibri" w:cs="Calibri"/>
        </w:rPr>
        <w:t xml:space="preserve"> have access to further details and consultation</w:t>
      </w:r>
      <w:r>
        <w:rPr>
          <w:rFonts w:ascii="Calibri" w:hAnsi="Calibri" w:cs="Calibri"/>
        </w:rPr>
        <w:t>.</w:t>
      </w:r>
    </w:p>
    <w:p w14:paraId="3A7E0AC0" w14:textId="77777777" w:rsidR="00AA0DE4" w:rsidRPr="0053088D" w:rsidRDefault="00AA0DE4" w:rsidP="00AA0DE4">
      <w:pPr>
        <w:jc w:val="both"/>
        <w:rPr>
          <w:rFonts w:ascii="Calibri" w:hAnsi="Calibri" w:cs="Calibri"/>
          <w:b/>
          <w:bCs/>
        </w:rPr>
      </w:pPr>
      <w:r w:rsidRPr="0053088D">
        <w:rPr>
          <w:rFonts w:ascii="Calibri" w:hAnsi="Calibri" w:cs="Calibri"/>
          <w:b/>
          <w:bCs/>
        </w:rPr>
        <w:t>Slide 16: Data Subject Rights</w:t>
      </w:r>
    </w:p>
    <w:p w14:paraId="106F2EB6" w14:textId="77777777" w:rsidR="00AA0DE4" w:rsidRPr="0062514D" w:rsidRDefault="00AA0DE4" w:rsidP="00AA0DE4">
      <w:pPr>
        <w:jc w:val="both"/>
        <w:rPr>
          <w:rFonts w:ascii="Calibri" w:hAnsi="Calibri" w:cs="Calibri"/>
        </w:rPr>
      </w:pPr>
      <w:r w:rsidRPr="0062514D">
        <w:rPr>
          <w:rFonts w:ascii="Calibri" w:hAnsi="Calibri" w:cs="Calibri"/>
        </w:rPr>
        <w:t>Patients, or data subjects, hold several rights, including access to their data, the right to rectify inaccuracies, and even the right to have their data erased in some circumstances. Respecting these rights is fundamental to complying with data protection laws. Let’s pause for a moment and test your understanding with a quiz</w:t>
      </w:r>
      <w:r w:rsidRPr="005C60F0">
        <w:rPr>
          <w:rFonts w:ascii="Calibri" w:hAnsi="Calibri" w:cs="Calibri"/>
        </w:rPr>
        <w:t xml:space="preserve"> </w:t>
      </w:r>
      <w:r w:rsidRPr="0062514D">
        <w:rPr>
          <w:rFonts w:ascii="Calibri" w:hAnsi="Calibri" w:cs="Calibri"/>
        </w:rPr>
        <w:t>in real-world healthcare situations. Ready? Let’s begin!</w:t>
      </w:r>
    </w:p>
    <w:p w14:paraId="145FB01F" w14:textId="77777777" w:rsidR="00AA0DE4" w:rsidRPr="0053088D" w:rsidRDefault="00AA0DE4" w:rsidP="00AA0DE4">
      <w:pPr>
        <w:jc w:val="both"/>
        <w:rPr>
          <w:rFonts w:ascii="Calibri" w:hAnsi="Calibri" w:cs="Calibri"/>
          <w:b/>
          <w:bCs/>
        </w:rPr>
      </w:pPr>
      <w:r w:rsidRPr="005C60F0">
        <w:rPr>
          <w:rFonts w:ascii="Calibri" w:hAnsi="Calibri" w:cs="Calibri"/>
          <w:b/>
          <w:bCs/>
          <w:highlight w:val="yellow"/>
        </w:rPr>
        <w:t>Slide 17: Quiz Time! (no script)</w:t>
      </w:r>
    </w:p>
    <w:p w14:paraId="35F44AFC" w14:textId="77777777" w:rsidR="00AA0DE4" w:rsidRPr="0053088D" w:rsidRDefault="00AA0DE4" w:rsidP="00AA0DE4">
      <w:pPr>
        <w:jc w:val="both"/>
        <w:rPr>
          <w:rFonts w:ascii="Calibri" w:hAnsi="Calibri" w:cs="Calibri"/>
          <w:b/>
          <w:bCs/>
        </w:rPr>
      </w:pPr>
      <w:r w:rsidRPr="0053088D">
        <w:rPr>
          <w:rFonts w:ascii="Calibri" w:hAnsi="Calibri" w:cs="Calibri"/>
          <w:b/>
          <w:bCs/>
        </w:rPr>
        <w:t>Slide 18: Task</w:t>
      </w:r>
    </w:p>
    <w:p w14:paraId="77ED8873" w14:textId="77777777" w:rsidR="00AA0DE4" w:rsidRPr="0062514D" w:rsidRDefault="00AA0DE4" w:rsidP="00AA0DE4">
      <w:pPr>
        <w:jc w:val="both"/>
        <w:rPr>
          <w:rFonts w:ascii="Calibri" w:hAnsi="Calibri" w:cs="Calibri"/>
        </w:rPr>
      </w:pPr>
      <w:r w:rsidRPr="0062514D">
        <w:rPr>
          <w:rFonts w:ascii="Calibri" w:hAnsi="Calibri" w:cs="Calibri"/>
        </w:rPr>
        <w:t>Here’s a thought exercise to deepen your understanding: Can you think of a situation where data processing based on vital interests might override the need for informed consent? For example, in emergency care when a patient is unable to give consent. Take a moment to consider this scenario before we move on.</w:t>
      </w:r>
    </w:p>
    <w:p w14:paraId="6E989AFC" w14:textId="77777777" w:rsidR="00AA0DE4" w:rsidRPr="0053088D" w:rsidRDefault="00AA0DE4" w:rsidP="00AA0DE4">
      <w:pPr>
        <w:jc w:val="both"/>
        <w:rPr>
          <w:rFonts w:ascii="Calibri" w:hAnsi="Calibri" w:cs="Calibri"/>
          <w:b/>
          <w:bCs/>
        </w:rPr>
      </w:pPr>
      <w:r w:rsidRPr="0053088D">
        <w:rPr>
          <w:rFonts w:ascii="Calibri" w:hAnsi="Calibri" w:cs="Calibri"/>
          <w:b/>
          <w:bCs/>
        </w:rPr>
        <w:t>Slide 19: Data Protection by Design</w:t>
      </w:r>
    </w:p>
    <w:p w14:paraId="6F7EB572" w14:textId="77777777" w:rsidR="00AA0DE4" w:rsidRPr="0062514D" w:rsidRDefault="00AA0DE4" w:rsidP="00AA0DE4">
      <w:pPr>
        <w:jc w:val="both"/>
        <w:rPr>
          <w:rFonts w:ascii="Calibri" w:hAnsi="Calibri" w:cs="Calibri"/>
        </w:rPr>
      </w:pPr>
      <w:r w:rsidRPr="0062514D">
        <w:rPr>
          <w:rFonts w:ascii="Calibri" w:hAnsi="Calibri" w:cs="Calibri"/>
        </w:rPr>
        <w:t xml:space="preserve">GDPR also emphasizes the concept of 'data protection by design', which means incorporating data protection principles into the development of systems and processes from the start. Let’s look at pseudonymization </w:t>
      </w:r>
      <w:r>
        <w:rPr>
          <w:rFonts w:ascii="Calibri" w:hAnsi="Calibri" w:cs="Calibri"/>
        </w:rPr>
        <w:t>and data encryption in detail</w:t>
      </w:r>
      <w:r w:rsidRPr="0062514D">
        <w:rPr>
          <w:rFonts w:ascii="Calibri" w:hAnsi="Calibri" w:cs="Calibri"/>
        </w:rPr>
        <w:t>.</w:t>
      </w:r>
    </w:p>
    <w:p w14:paraId="6B03D903" w14:textId="77777777" w:rsidR="00AA0DE4" w:rsidRPr="0053088D" w:rsidRDefault="00AA0DE4" w:rsidP="00AA0DE4">
      <w:pPr>
        <w:jc w:val="both"/>
        <w:rPr>
          <w:rFonts w:ascii="Calibri" w:hAnsi="Calibri" w:cs="Calibri"/>
          <w:b/>
          <w:bCs/>
        </w:rPr>
      </w:pPr>
      <w:r w:rsidRPr="0053088D">
        <w:rPr>
          <w:rFonts w:ascii="Calibri" w:hAnsi="Calibri" w:cs="Calibri"/>
          <w:b/>
          <w:bCs/>
        </w:rPr>
        <w:t>Slide 20: Pseudonymization in Healthcare</w:t>
      </w:r>
    </w:p>
    <w:p w14:paraId="0DA93903" w14:textId="77777777" w:rsidR="00AA0DE4" w:rsidRPr="0062514D" w:rsidRDefault="00AA0DE4" w:rsidP="00AA0DE4">
      <w:pPr>
        <w:jc w:val="both"/>
        <w:rPr>
          <w:rFonts w:ascii="Calibri" w:hAnsi="Calibri" w:cs="Calibri"/>
        </w:rPr>
      </w:pPr>
      <w:r w:rsidRPr="0062514D">
        <w:rPr>
          <w:rFonts w:ascii="Calibri" w:hAnsi="Calibri" w:cs="Calibri"/>
        </w:rPr>
        <w:t xml:space="preserve">Pseudonymization is a technique used to de-identify data, allowing it to be re-identified with the right keys. </w:t>
      </w:r>
      <w:r w:rsidRPr="00BF1D76">
        <w:t>It allows data to be linked back to individuals, as personal identifiers are stored separately, requiring additional information for re-identification, which enhances security.</w:t>
      </w:r>
      <w:r w:rsidRPr="00BF1D76">
        <w:rPr>
          <w:lang w:val="hu-HU"/>
        </w:rPr>
        <w:t xml:space="preserve"> </w:t>
      </w:r>
      <w:r w:rsidRPr="0062514D">
        <w:rPr>
          <w:rFonts w:ascii="Calibri" w:hAnsi="Calibri" w:cs="Calibri"/>
        </w:rPr>
        <w:t>This is common in clinical trials, where it’s crucial to maintain confidentiality while still tracking outcomes.</w:t>
      </w:r>
    </w:p>
    <w:p w14:paraId="2FFCD160" w14:textId="77777777" w:rsidR="00AA0DE4" w:rsidRPr="0053088D" w:rsidRDefault="00AA0DE4" w:rsidP="00AA0DE4">
      <w:pPr>
        <w:jc w:val="both"/>
        <w:rPr>
          <w:rFonts w:ascii="Calibri" w:hAnsi="Calibri" w:cs="Calibri"/>
          <w:b/>
          <w:bCs/>
        </w:rPr>
      </w:pPr>
      <w:r w:rsidRPr="0053088D">
        <w:rPr>
          <w:rFonts w:ascii="Calibri" w:hAnsi="Calibri" w:cs="Calibri"/>
          <w:b/>
          <w:bCs/>
        </w:rPr>
        <w:t>Slide 21: Data Encryption</w:t>
      </w:r>
    </w:p>
    <w:p w14:paraId="10F92CF0" w14:textId="77777777" w:rsidR="00AA0DE4" w:rsidRDefault="00AA0DE4" w:rsidP="00AA0DE4">
      <w:pPr>
        <w:jc w:val="both"/>
        <w:rPr>
          <w:rFonts w:ascii="Calibri" w:hAnsi="Calibri" w:cs="Calibri"/>
        </w:rPr>
      </w:pPr>
      <w:r w:rsidRPr="0062514D">
        <w:rPr>
          <w:rFonts w:ascii="Calibri" w:hAnsi="Calibri" w:cs="Calibri"/>
        </w:rPr>
        <w:t>Encryption ensures that only authorized users can access data</w:t>
      </w:r>
      <w:r>
        <w:rPr>
          <w:rFonts w:ascii="Calibri" w:hAnsi="Calibri" w:cs="Calibri"/>
        </w:rPr>
        <w:t xml:space="preserve"> by using the decryption key</w:t>
      </w:r>
      <w:r w:rsidRPr="0062514D">
        <w:rPr>
          <w:rFonts w:ascii="Calibri" w:hAnsi="Calibri" w:cs="Calibri"/>
        </w:rPr>
        <w:t xml:space="preserve">, making it unreadable to anyone else. It’s one of the most effective ways to secure healthcare data, whether it’s in transit or at rest. </w:t>
      </w:r>
    </w:p>
    <w:p w14:paraId="423DBD97" w14:textId="77777777" w:rsidR="00AA0DE4" w:rsidRPr="0062514D" w:rsidRDefault="00AA0DE4" w:rsidP="00AA0DE4">
      <w:pPr>
        <w:jc w:val="both"/>
        <w:rPr>
          <w:rFonts w:ascii="Calibri" w:hAnsi="Calibri" w:cs="Calibri"/>
        </w:rPr>
      </w:pPr>
      <w:r w:rsidRPr="0062514D">
        <w:rPr>
          <w:rFonts w:ascii="Calibri" w:hAnsi="Calibri" w:cs="Calibri"/>
        </w:rPr>
        <w:t>To illustrate these principles in action, let’s move to a case study.</w:t>
      </w:r>
    </w:p>
    <w:p w14:paraId="559F31DB" w14:textId="77777777" w:rsidR="00AA0DE4" w:rsidRPr="0053088D" w:rsidRDefault="00AA0DE4" w:rsidP="00AA0DE4">
      <w:pPr>
        <w:jc w:val="both"/>
        <w:rPr>
          <w:rFonts w:ascii="Calibri" w:hAnsi="Calibri" w:cs="Calibri"/>
          <w:b/>
          <w:bCs/>
        </w:rPr>
      </w:pPr>
      <w:r w:rsidRPr="0053088D">
        <w:rPr>
          <w:rFonts w:ascii="Calibri" w:hAnsi="Calibri" w:cs="Calibri"/>
          <w:b/>
          <w:bCs/>
        </w:rPr>
        <w:t>Slide 22: Case Study</w:t>
      </w:r>
    </w:p>
    <w:p w14:paraId="57487CE4" w14:textId="77777777" w:rsidR="00AA0DE4" w:rsidRPr="0062514D" w:rsidRDefault="00AA0DE4" w:rsidP="00AA0DE4">
      <w:pPr>
        <w:jc w:val="both"/>
        <w:rPr>
          <w:rFonts w:ascii="Calibri" w:hAnsi="Calibri" w:cs="Calibri"/>
        </w:rPr>
      </w:pPr>
      <w:r w:rsidRPr="0062514D">
        <w:rPr>
          <w:rFonts w:ascii="Calibri" w:hAnsi="Calibri" w:cs="Calibri"/>
        </w:rPr>
        <w:t>In this case study, Mr. Anastasiou, a clinical trial participant, needs his medical report shared without revealing his identity. This scenario highlights the practical challenge of balancing data sharing and privacy. Next, we’ll discuss best practices for securely sharing medical data.</w:t>
      </w:r>
    </w:p>
    <w:p w14:paraId="12EC2AF8" w14:textId="77777777" w:rsidR="00AA0DE4" w:rsidRPr="0053088D" w:rsidRDefault="00AA0DE4" w:rsidP="00AA0DE4">
      <w:pPr>
        <w:jc w:val="both"/>
        <w:rPr>
          <w:rFonts w:ascii="Calibri" w:hAnsi="Calibri" w:cs="Calibri"/>
          <w:b/>
          <w:bCs/>
        </w:rPr>
      </w:pPr>
      <w:r w:rsidRPr="0053088D">
        <w:rPr>
          <w:rFonts w:ascii="Calibri" w:hAnsi="Calibri" w:cs="Calibri"/>
          <w:b/>
          <w:bCs/>
        </w:rPr>
        <w:t>Slide 23: Secure Sharing of Medical Data</w:t>
      </w:r>
    </w:p>
    <w:p w14:paraId="09393467" w14:textId="77777777" w:rsidR="00AA0DE4" w:rsidRPr="0062514D" w:rsidRDefault="00AA0DE4" w:rsidP="00AA0DE4">
      <w:pPr>
        <w:jc w:val="both"/>
        <w:rPr>
          <w:rFonts w:ascii="Calibri" w:hAnsi="Calibri" w:cs="Calibri"/>
        </w:rPr>
      </w:pPr>
      <w:r w:rsidRPr="0062514D">
        <w:rPr>
          <w:rFonts w:ascii="Calibri" w:hAnsi="Calibri" w:cs="Calibri"/>
        </w:rPr>
        <w:t xml:space="preserve">Here are some key practices for securely sharing medical data: Use encrypted file-sharing systems, regularly update passwords and software, </w:t>
      </w:r>
      <w:r>
        <w:rPr>
          <w:rFonts w:ascii="Calibri" w:hAnsi="Calibri" w:cs="Calibri"/>
        </w:rPr>
        <w:t xml:space="preserve">use two-factor authentication whenever possible, </w:t>
      </w:r>
      <w:r w:rsidRPr="0062514D">
        <w:rPr>
          <w:rFonts w:ascii="Calibri" w:hAnsi="Calibri" w:cs="Calibri"/>
        </w:rPr>
        <w:t xml:space="preserve">and avoid </w:t>
      </w:r>
      <w:r w:rsidRPr="0062514D">
        <w:rPr>
          <w:rFonts w:ascii="Calibri" w:hAnsi="Calibri" w:cs="Calibri"/>
        </w:rPr>
        <w:lastRenderedPageBreak/>
        <w:t xml:space="preserve">sending unencrypted emails. Following these guidelines helps prevent data breaches and unauthorized access. </w:t>
      </w:r>
    </w:p>
    <w:p w14:paraId="729C11C1" w14:textId="77777777" w:rsidR="00AA0DE4" w:rsidRPr="0053088D" w:rsidRDefault="00AA0DE4" w:rsidP="00AA0DE4">
      <w:pPr>
        <w:jc w:val="both"/>
        <w:rPr>
          <w:rFonts w:ascii="Calibri" w:hAnsi="Calibri" w:cs="Calibri"/>
          <w:b/>
          <w:bCs/>
        </w:rPr>
      </w:pPr>
      <w:r w:rsidRPr="0053088D">
        <w:rPr>
          <w:rFonts w:ascii="Calibri" w:hAnsi="Calibri" w:cs="Calibri"/>
          <w:b/>
          <w:bCs/>
        </w:rPr>
        <w:t>Slide 24: Data Presentation and Biases</w:t>
      </w:r>
    </w:p>
    <w:p w14:paraId="68621E1C" w14:textId="77777777" w:rsidR="00AA0DE4" w:rsidRPr="0062514D" w:rsidRDefault="00AA0DE4" w:rsidP="00AA0DE4">
      <w:pPr>
        <w:jc w:val="both"/>
        <w:rPr>
          <w:rFonts w:ascii="Calibri" w:hAnsi="Calibri" w:cs="Calibri"/>
        </w:rPr>
      </w:pPr>
      <w:r w:rsidRPr="0062514D">
        <w:rPr>
          <w:rFonts w:ascii="Calibri" w:hAnsi="Calibri" w:cs="Calibri"/>
        </w:rPr>
        <w:t xml:space="preserve">Presenting data is a powerful way to communicate insights, but we must be cautious of potential biases. Even accurate data can be misrepresented or misunderstood, leading to incorrect conclusions. </w:t>
      </w:r>
    </w:p>
    <w:p w14:paraId="172A01E6" w14:textId="77777777" w:rsidR="00AA0DE4" w:rsidRPr="0053088D" w:rsidRDefault="00AA0DE4" w:rsidP="00AA0DE4">
      <w:pPr>
        <w:jc w:val="both"/>
        <w:rPr>
          <w:rFonts w:ascii="Calibri" w:hAnsi="Calibri" w:cs="Calibri"/>
          <w:b/>
          <w:bCs/>
        </w:rPr>
      </w:pPr>
      <w:r w:rsidRPr="0053088D">
        <w:rPr>
          <w:rFonts w:ascii="Calibri" w:hAnsi="Calibri" w:cs="Calibri"/>
          <w:b/>
          <w:bCs/>
        </w:rPr>
        <w:t>Slide 25: Tools for Data Visualization</w:t>
      </w:r>
    </w:p>
    <w:p w14:paraId="41979358" w14:textId="77777777" w:rsidR="00AA0DE4" w:rsidRPr="0062514D" w:rsidRDefault="00AA0DE4" w:rsidP="00AA0DE4">
      <w:pPr>
        <w:jc w:val="both"/>
        <w:rPr>
          <w:rFonts w:ascii="Calibri" w:hAnsi="Calibri" w:cs="Calibri"/>
        </w:rPr>
      </w:pPr>
      <w:r w:rsidRPr="0062514D">
        <w:rPr>
          <w:rFonts w:ascii="Calibri" w:hAnsi="Calibri" w:cs="Calibri"/>
        </w:rPr>
        <w:t>Data visualization tools help make complex healthcare information more accessible. Whether you're presenting patient outcomes or clinical data, these tools can help communicate key insights effectively.</w:t>
      </w:r>
      <w:r w:rsidRPr="004475E0">
        <w:t xml:space="preserve"> </w:t>
      </w:r>
      <w:r>
        <w:rPr>
          <w:rFonts w:ascii="Calibri" w:hAnsi="Calibri" w:cs="Calibri"/>
        </w:rPr>
        <w:t>On the slide</w:t>
      </w:r>
      <w:r w:rsidRPr="004475E0">
        <w:rPr>
          <w:rFonts w:ascii="Calibri" w:hAnsi="Calibri" w:cs="Calibri"/>
        </w:rPr>
        <w:t xml:space="preserve"> we have included the tools’ short descriptions, healthcare examples for application, and some openly available tutorials from </w:t>
      </w:r>
      <w:proofErr w:type="spellStart"/>
      <w:r w:rsidRPr="004475E0">
        <w:rPr>
          <w:rFonts w:ascii="Calibri" w:hAnsi="Calibri" w:cs="Calibri"/>
        </w:rPr>
        <w:t>youtube</w:t>
      </w:r>
      <w:proofErr w:type="spellEnd"/>
      <w:r w:rsidRPr="004475E0">
        <w:rPr>
          <w:rFonts w:ascii="Calibri" w:hAnsi="Calibri" w:cs="Calibri"/>
        </w:rPr>
        <w:t xml:space="preserve"> and other sources. Of course this is not a complete list, however, we hope that these examples help you in exploring how many options you have when using tools to support your decision-making process or to support your arguments.</w:t>
      </w:r>
    </w:p>
    <w:p w14:paraId="6EFC790C" w14:textId="77777777" w:rsidR="00AA0DE4" w:rsidRPr="0053088D" w:rsidRDefault="00AA0DE4" w:rsidP="00AA0DE4">
      <w:pPr>
        <w:jc w:val="both"/>
        <w:rPr>
          <w:rFonts w:ascii="Calibri" w:hAnsi="Calibri" w:cs="Calibri"/>
          <w:b/>
          <w:bCs/>
        </w:rPr>
      </w:pPr>
      <w:r w:rsidRPr="0053088D">
        <w:rPr>
          <w:rFonts w:ascii="Calibri" w:hAnsi="Calibri" w:cs="Calibri"/>
          <w:b/>
          <w:bCs/>
        </w:rPr>
        <w:t>Slide 26: Misleading Data Displays</w:t>
      </w:r>
    </w:p>
    <w:p w14:paraId="66BCB8A5" w14:textId="77777777" w:rsidR="00AA0DE4" w:rsidRPr="004475E0" w:rsidRDefault="00AA0DE4" w:rsidP="00AA0DE4">
      <w:pPr>
        <w:rPr>
          <w:lang w:val="hu-HU"/>
        </w:rPr>
      </w:pPr>
      <w:r w:rsidRPr="0062514D">
        <w:rPr>
          <w:rFonts w:ascii="Calibri" w:hAnsi="Calibri" w:cs="Calibri"/>
        </w:rPr>
        <w:t xml:space="preserve">Data can sometimes be misleading depending on how it’s collected, processed, or displayed. </w:t>
      </w:r>
      <w:r w:rsidRPr="0016256F">
        <w:rPr>
          <w:lang w:val="hu-HU"/>
        </w:rPr>
        <w:t xml:space="preserve">Here </w:t>
      </w:r>
      <w:proofErr w:type="spellStart"/>
      <w:r w:rsidRPr="0016256F">
        <w:rPr>
          <w:lang w:val="hu-HU"/>
        </w:rPr>
        <w:t>you</w:t>
      </w:r>
      <w:proofErr w:type="spellEnd"/>
      <w:r w:rsidRPr="0016256F">
        <w:rPr>
          <w:lang w:val="hu-HU"/>
        </w:rPr>
        <w:t xml:space="preserve"> </w:t>
      </w:r>
      <w:proofErr w:type="spellStart"/>
      <w:r w:rsidRPr="0016256F">
        <w:rPr>
          <w:lang w:val="hu-HU"/>
        </w:rPr>
        <w:t>can</w:t>
      </w:r>
      <w:proofErr w:type="spellEnd"/>
      <w:r w:rsidRPr="0016256F">
        <w:rPr>
          <w:lang w:val="hu-HU"/>
        </w:rPr>
        <w:t xml:space="preserve"> </w:t>
      </w:r>
      <w:proofErr w:type="spellStart"/>
      <w:r w:rsidRPr="0016256F">
        <w:rPr>
          <w:lang w:val="hu-HU"/>
        </w:rPr>
        <w:t>get</w:t>
      </w:r>
      <w:proofErr w:type="spellEnd"/>
      <w:r w:rsidRPr="0016256F">
        <w:rPr>
          <w:lang w:val="hu-HU"/>
        </w:rPr>
        <w:t xml:space="preserve"> </w:t>
      </w:r>
      <w:proofErr w:type="spellStart"/>
      <w:r w:rsidRPr="0016256F">
        <w:rPr>
          <w:lang w:val="hu-HU"/>
        </w:rPr>
        <w:t>to</w:t>
      </w:r>
      <w:proofErr w:type="spellEnd"/>
      <w:r w:rsidRPr="0016256F">
        <w:rPr>
          <w:lang w:val="hu-HU"/>
        </w:rPr>
        <w:t xml:space="preserve"> </w:t>
      </w:r>
      <w:proofErr w:type="spellStart"/>
      <w:r w:rsidRPr="0016256F">
        <w:rPr>
          <w:lang w:val="hu-HU"/>
        </w:rPr>
        <w:t>know</w:t>
      </w:r>
      <w:proofErr w:type="spellEnd"/>
      <w:r w:rsidRPr="0016256F">
        <w:rPr>
          <w:lang w:val="hu-HU"/>
        </w:rPr>
        <w:t xml:space="preserve"> </w:t>
      </w:r>
      <w:proofErr w:type="spellStart"/>
      <w:r w:rsidRPr="0016256F">
        <w:rPr>
          <w:lang w:val="hu-HU"/>
        </w:rPr>
        <w:t>several</w:t>
      </w:r>
      <w:proofErr w:type="spellEnd"/>
      <w:r w:rsidRPr="0016256F">
        <w:rPr>
          <w:lang w:val="hu-HU"/>
        </w:rPr>
        <w:t xml:space="preserve"> </w:t>
      </w:r>
      <w:proofErr w:type="spellStart"/>
      <w:r w:rsidRPr="0016256F">
        <w:rPr>
          <w:lang w:val="hu-HU"/>
        </w:rPr>
        <w:t>ways</w:t>
      </w:r>
      <w:proofErr w:type="spellEnd"/>
      <w:r w:rsidRPr="0016256F">
        <w:rPr>
          <w:lang w:val="hu-HU"/>
        </w:rPr>
        <w:t xml:space="preserve"> </w:t>
      </w:r>
      <w:proofErr w:type="spellStart"/>
      <w:r w:rsidRPr="0016256F">
        <w:rPr>
          <w:lang w:val="hu-HU"/>
        </w:rPr>
        <w:t>how</w:t>
      </w:r>
      <w:proofErr w:type="spellEnd"/>
      <w:r w:rsidRPr="0016256F">
        <w:rPr>
          <w:lang w:val="hu-HU"/>
        </w:rPr>
        <w:t xml:space="preserve"> </w:t>
      </w:r>
      <w:proofErr w:type="spellStart"/>
      <w:r w:rsidRPr="0016256F">
        <w:rPr>
          <w:lang w:val="hu-HU"/>
        </w:rPr>
        <w:t>the</w:t>
      </w:r>
      <w:proofErr w:type="spellEnd"/>
      <w:r w:rsidRPr="0016256F">
        <w:rPr>
          <w:lang w:val="hu-HU"/>
        </w:rPr>
        <w:t xml:space="preserve"> </w:t>
      </w:r>
      <w:proofErr w:type="spellStart"/>
      <w:r w:rsidRPr="0016256F">
        <w:rPr>
          <w:lang w:val="hu-HU"/>
        </w:rPr>
        <w:t>intentional</w:t>
      </w:r>
      <w:proofErr w:type="spellEnd"/>
      <w:r w:rsidRPr="0016256F">
        <w:rPr>
          <w:lang w:val="hu-HU"/>
        </w:rPr>
        <w:t xml:space="preserve"> display of </w:t>
      </w:r>
      <w:proofErr w:type="spellStart"/>
      <w:r w:rsidRPr="0016256F">
        <w:rPr>
          <w:lang w:val="hu-HU"/>
        </w:rPr>
        <w:t>data</w:t>
      </w:r>
      <w:proofErr w:type="spellEnd"/>
      <w:r w:rsidRPr="0016256F">
        <w:rPr>
          <w:lang w:val="hu-HU"/>
        </w:rPr>
        <w:t xml:space="preserve"> </w:t>
      </w:r>
      <w:proofErr w:type="spellStart"/>
      <w:r w:rsidRPr="0016256F">
        <w:rPr>
          <w:lang w:val="hu-HU"/>
        </w:rPr>
        <w:t>can</w:t>
      </w:r>
      <w:proofErr w:type="spellEnd"/>
      <w:r w:rsidRPr="0016256F">
        <w:rPr>
          <w:lang w:val="hu-HU"/>
        </w:rPr>
        <w:t xml:space="preserve"> be </w:t>
      </w:r>
      <w:proofErr w:type="spellStart"/>
      <w:r w:rsidRPr="0016256F">
        <w:rPr>
          <w:lang w:val="hu-HU"/>
        </w:rPr>
        <w:t>used</w:t>
      </w:r>
      <w:proofErr w:type="spellEnd"/>
      <w:r w:rsidRPr="0016256F">
        <w:rPr>
          <w:lang w:val="hu-HU"/>
        </w:rPr>
        <w:t xml:space="preserve"> in </w:t>
      </w:r>
      <w:proofErr w:type="spellStart"/>
      <w:r w:rsidRPr="0016256F">
        <w:rPr>
          <w:lang w:val="hu-HU"/>
        </w:rPr>
        <w:t>favour</w:t>
      </w:r>
      <w:proofErr w:type="spellEnd"/>
      <w:r w:rsidRPr="0016256F">
        <w:rPr>
          <w:lang w:val="hu-HU"/>
        </w:rPr>
        <w:t xml:space="preserve"> of </w:t>
      </w:r>
      <w:proofErr w:type="spellStart"/>
      <w:r w:rsidRPr="0016256F">
        <w:rPr>
          <w:lang w:val="hu-HU"/>
        </w:rPr>
        <w:t>the</w:t>
      </w:r>
      <w:proofErr w:type="spellEnd"/>
      <w:r w:rsidRPr="0016256F">
        <w:rPr>
          <w:lang w:val="hu-HU"/>
        </w:rPr>
        <w:t xml:space="preserve"> </w:t>
      </w:r>
      <w:proofErr w:type="spellStart"/>
      <w:r w:rsidRPr="0016256F">
        <w:rPr>
          <w:lang w:val="hu-HU"/>
        </w:rPr>
        <w:t>presenter</w:t>
      </w:r>
      <w:proofErr w:type="spellEnd"/>
      <w:r w:rsidRPr="0016256F">
        <w:rPr>
          <w:lang w:val="hu-HU"/>
        </w:rPr>
        <w:t xml:space="preserve"> </w:t>
      </w:r>
      <w:proofErr w:type="spellStart"/>
      <w:r w:rsidRPr="0016256F">
        <w:rPr>
          <w:lang w:val="hu-HU"/>
        </w:rPr>
        <w:t>that</w:t>
      </w:r>
      <w:proofErr w:type="spellEnd"/>
      <w:r w:rsidRPr="0016256F">
        <w:rPr>
          <w:lang w:val="hu-HU"/>
        </w:rPr>
        <w:t xml:space="preserve"> </w:t>
      </w:r>
      <w:proofErr w:type="spellStart"/>
      <w:r w:rsidRPr="0016256F">
        <w:rPr>
          <w:lang w:val="hu-HU"/>
        </w:rPr>
        <w:t>might</w:t>
      </w:r>
      <w:proofErr w:type="spellEnd"/>
      <w:r w:rsidRPr="0016256F">
        <w:rPr>
          <w:lang w:val="hu-HU"/>
        </w:rPr>
        <w:t xml:space="preserve"> </w:t>
      </w:r>
      <w:proofErr w:type="spellStart"/>
      <w:r w:rsidRPr="0016256F">
        <w:rPr>
          <w:lang w:val="hu-HU"/>
        </w:rPr>
        <w:t>mislead</w:t>
      </w:r>
      <w:proofErr w:type="spellEnd"/>
      <w:r w:rsidRPr="0016256F">
        <w:rPr>
          <w:lang w:val="hu-HU"/>
        </w:rPr>
        <w:t xml:space="preserve"> </w:t>
      </w:r>
      <w:proofErr w:type="spellStart"/>
      <w:r w:rsidRPr="0016256F">
        <w:rPr>
          <w:lang w:val="hu-HU"/>
        </w:rPr>
        <w:t>the</w:t>
      </w:r>
      <w:proofErr w:type="spellEnd"/>
      <w:r w:rsidRPr="0016256F">
        <w:rPr>
          <w:lang w:val="hu-HU"/>
        </w:rPr>
        <w:t xml:space="preserve"> </w:t>
      </w:r>
      <w:proofErr w:type="spellStart"/>
      <w:r w:rsidRPr="0016256F">
        <w:rPr>
          <w:lang w:val="hu-HU"/>
        </w:rPr>
        <w:t>public</w:t>
      </w:r>
      <w:proofErr w:type="spellEnd"/>
      <w:r w:rsidRPr="0016256F">
        <w:rPr>
          <w:lang w:val="hu-HU"/>
        </w:rPr>
        <w:t xml:space="preserve"> </w:t>
      </w:r>
      <w:proofErr w:type="spellStart"/>
      <w:r w:rsidRPr="0016256F">
        <w:rPr>
          <w:lang w:val="hu-HU"/>
        </w:rPr>
        <w:t>or</w:t>
      </w:r>
      <w:proofErr w:type="spellEnd"/>
      <w:r w:rsidRPr="0016256F">
        <w:rPr>
          <w:lang w:val="hu-HU"/>
        </w:rPr>
        <w:t xml:space="preserve"> </w:t>
      </w:r>
      <w:proofErr w:type="spellStart"/>
      <w:r w:rsidRPr="0016256F">
        <w:rPr>
          <w:lang w:val="hu-HU"/>
        </w:rPr>
        <w:t>even</w:t>
      </w:r>
      <w:proofErr w:type="spellEnd"/>
      <w:r w:rsidRPr="0016256F">
        <w:rPr>
          <w:lang w:val="hu-HU"/>
        </w:rPr>
        <w:t xml:space="preserve"> </w:t>
      </w:r>
      <w:proofErr w:type="spellStart"/>
      <w:r w:rsidRPr="0016256F">
        <w:rPr>
          <w:lang w:val="hu-HU"/>
        </w:rPr>
        <w:t>professionals</w:t>
      </w:r>
      <w:proofErr w:type="spellEnd"/>
      <w:r w:rsidRPr="0016256F">
        <w:rPr>
          <w:lang w:val="hu-HU"/>
        </w:rPr>
        <w:t xml:space="preserve">. Of </w:t>
      </w:r>
      <w:proofErr w:type="spellStart"/>
      <w:r w:rsidRPr="0016256F">
        <w:rPr>
          <w:lang w:val="hu-HU"/>
        </w:rPr>
        <w:t>course</w:t>
      </w:r>
      <w:proofErr w:type="spellEnd"/>
      <w:r w:rsidRPr="0016256F">
        <w:rPr>
          <w:lang w:val="hu-HU"/>
        </w:rPr>
        <w:t xml:space="preserve"> </w:t>
      </w:r>
      <w:proofErr w:type="spellStart"/>
      <w:r w:rsidRPr="0016256F">
        <w:rPr>
          <w:lang w:val="hu-HU"/>
        </w:rPr>
        <w:t>the</w:t>
      </w:r>
      <w:proofErr w:type="spellEnd"/>
      <w:r w:rsidRPr="0016256F">
        <w:rPr>
          <w:lang w:val="hu-HU"/>
        </w:rPr>
        <w:t xml:space="preserve"> </w:t>
      </w:r>
      <w:proofErr w:type="spellStart"/>
      <w:r w:rsidRPr="0016256F">
        <w:rPr>
          <w:lang w:val="hu-HU"/>
        </w:rPr>
        <w:t>influence</w:t>
      </w:r>
      <w:proofErr w:type="spellEnd"/>
      <w:r w:rsidRPr="0016256F">
        <w:rPr>
          <w:lang w:val="hu-HU"/>
        </w:rPr>
        <w:t xml:space="preserve"> </w:t>
      </w:r>
      <w:proofErr w:type="spellStart"/>
      <w:r w:rsidRPr="0016256F">
        <w:rPr>
          <w:lang w:val="hu-HU"/>
        </w:rPr>
        <w:t>can</w:t>
      </w:r>
      <w:proofErr w:type="spellEnd"/>
      <w:r w:rsidRPr="0016256F">
        <w:rPr>
          <w:lang w:val="hu-HU"/>
        </w:rPr>
        <w:t xml:space="preserve"> be </w:t>
      </w:r>
      <w:proofErr w:type="spellStart"/>
      <w:r w:rsidRPr="0016256F">
        <w:rPr>
          <w:lang w:val="hu-HU"/>
        </w:rPr>
        <w:t>there</w:t>
      </w:r>
      <w:proofErr w:type="spellEnd"/>
      <w:r w:rsidRPr="0016256F">
        <w:rPr>
          <w:lang w:val="hu-HU"/>
        </w:rPr>
        <w:t xml:space="preserve"> </w:t>
      </w:r>
      <w:proofErr w:type="spellStart"/>
      <w:r w:rsidRPr="0016256F">
        <w:rPr>
          <w:lang w:val="hu-HU"/>
        </w:rPr>
        <w:t>even</w:t>
      </w:r>
      <w:proofErr w:type="spellEnd"/>
      <w:r w:rsidRPr="0016256F">
        <w:rPr>
          <w:lang w:val="hu-HU"/>
        </w:rPr>
        <w:t xml:space="preserve"> </w:t>
      </w:r>
      <w:proofErr w:type="spellStart"/>
      <w:r w:rsidRPr="0016256F">
        <w:rPr>
          <w:lang w:val="hu-HU"/>
        </w:rPr>
        <w:t>if</w:t>
      </w:r>
      <w:proofErr w:type="spellEnd"/>
      <w:r w:rsidRPr="0016256F">
        <w:rPr>
          <w:lang w:val="hu-HU"/>
        </w:rPr>
        <w:t xml:space="preserve"> </w:t>
      </w:r>
      <w:proofErr w:type="spellStart"/>
      <w:r w:rsidRPr="0016256F">
        <w:rPr>
          <w:lang w:val="hu-HU"/>
        </w:rPr>
        <w:t>there</w:t>
      </w:r>
      <w:proofErr w:type="spellEnd"/>
      <w:r w:rsidRPr="0016256F">
        <w:rPr>
          <w:lang w:val="hu-HU"/>
        </w:rPr>
        <w:t xml:space="preserve"> </w:t>
      </w:r>
      <w:proofErr w:type="spellStart"/>
      <w:r w:rsidRPr="0016256F">
        <w:rPr>
          <w:lang w:val="hu-HU"/>
        </w:rPr>
        <w:t>are</w:t>
      </w:r>
      <w:proofErr w:type="spellEnd"/>
      <w:r w:rsidRPr="0016256F">
        <w:rPr>
          <w:lang w:val="hu-HU"/>
        </w:rPr>
        <w:t xml:space="preserve"> no </w:t>
      </w:r>
      <w:proofErr w:type="spellStart"/>
      <w:r w:rsidRPr="0016256F">
        <w:rPr>
          <w:lang w:val="hu-HU"/>
        </w:rPr>
        <w:t>ill</w:t>
      </w:r>
      <w:proofErr w:type="spellEnd"/>
      <w:r w:rsidRPr="0016256F">
        <w:rPr>
          <w:lang w:val="hu-HU"/>
        </w:rPr>
        <w:t xml:space="preserve"> </w:t>
      </w:r>
      <w:proofErr w:type="spellStart"/>
      <w:r w:rsidRPr="0016256F">
        <w:rPr>
          <w:lang w:val="hu-HU"/>
        </w:rPr>
        <w:t>intentions</w:t>
      </w:r>
      <w:proofErr w:type="spellEnd"/>
      <w:r w:rsidRPr="0016256F">
        <w:rPr>
          <w:lang w:val="hu-HU"/>
        </w:rPr>
        <w:t xml:space="preserve"> </w:t>
      </w:r>
      <w:proofErr w:type="spellStart"/>
      <w:r w:rsidRPr="0016256F">
        <w:rPr>
          <w:lang w:val="hu-HU"/>
        </w:rPr>
        <w:t>behind</w:t>
      </w:r>
      <w:proofErr w:type="spellEnd"/>
      <w:r w:rsidRPr="0016256F">
        <w:rPr>
          <w:lang w:val="hu-HU"/>
        </w:rPr>
        <w:t xml:space="preserve">. </w:t>
      </w:r>
      <w:proofErr w:type="spellStart"/>
      <w:r w:rsidRPr="0016256F">
        <w:rPr>
          <w:lang w:val="hu-HU"/>
        </w:rPr>
        <w:t>Even</w:t>
      </w:r>
      <w:proofErr w:type="spellEnd"/>
      <w:r w:rsidRPr="0016256F">
        <w:rPr>
          <w:lang w:val="hu-HU"/>
        </w:rPr>
        <w:t xml:space="preserve"> </w:t>
      </w:r>
      <w:proofErr w:type="spellStart"/>
      <w:r w:rsidRPr="0016256F">
        <w:rPr>
          <w:lang w:val="hu-HU"/>
        </w:rPr>
        <w:t>if</w:t>
      </w:r>
      <w:proofErr w:type="spellEnd"/>
      <w:r w:rsidRPr="0016256F">
        <w:rPr>
          <w:lang w:val="hu-HU"/>
        </w:rPr>
        <w:t xml:space="preserve"> </w:t>
      </w:r>
      <w:proofErr w:type="spellStart"/>
      <w:r w:rsidRPr="0016256F">
        <w:rPr>
          <w:lang w:val="hu-HU"/>
        </w:rPr>
        <w:t>the</w:t>
      </w:r>
      <w:proofErr w:type="spellEnd"/>
      <w:r w:rsidRPr="0016256F">
        <w:rPr>
          <w:lang w:val="hu-HU"/>
        </w:rPr>
        <w:t xml:space="preserve"> </w:t>
      </w:r>
      <w:proofErr w:type="spellStart"/>
      <w:r w:rsidRPr="0016256F">
        <w:rPr>
          <w:lang w:val="hu-HU"/>
        </w:rPr>
        <w:t>data</w:t>
      </w:r>
      <w:proofErr w:type="spellEnd"/>
      <w:r w:rsidRPr="0016256F">
        <w:rPr>
          <w:lang w:val="hu-HU"/>
        </w:rPr>
        <w:t xml:space="preserve">, </w:t>
      </w:r>
      <w:proofErr w:type="spellStart"/>
      <w:r w:rsidRPr="0016256F">
        <w:rPr>
          <w:lang w:val="hu-HU"/>
        </w:rPr>
        <w:t>the</w:t>
      </w:r>
      <w:proofErr w:type="spellEnd"/>
      <w:r w:rsidRPr="0016256F">
        <w:rPr>
          <w:lang w:val="hu-HU"/>
        </w:rPr>
        <w:t xml:space="preserve"> displayed</w:t>
      </w:r>
      <w:r>
        <w:rPr>
          <w:lang w:val="hu-HU"/>
        </w:rPr>
        <w:t xml:space="preserve"> </w:t>
      </w:r>
      <w:proofErr w:type="spellStart"/>
      <w:r>
        <w:rPr>
          <w:lang w:val="hu-HU"/>
        </w:rPr>
        <w:t>information</w:t>
      </w:r>
      <w:proofErr w:type="spellEnd"/>
      <w:r w:rsidRPr="0016256F">
        <w:rPr>
          <w:lang w:val="hu-HU"/>
        </w:rPr>
        <w:t xml:space="preserve"> is </w:t>
      </w:r>
      <w:proofErr w:type="spellStart"/>
      <w:r w:rsidRPr="0016256F">
        <w:rPr>
          <w:lang w:val="hu-HU"/>
        </w:rPr>
        <w:t>based</w:t>
      </w:r>
      <w:proofErr w:type="spellEnd"/>
      <w:r w:rsidRPr="0016256F">
        <w:rPr>
          <w:lang w:val="hu-HU"/>
        </w:rPr>
        <w:t xml:space="preserve"> </w:t>
      </w:r>
      <w:proofErr w:type="spellStart"/>
      <w:r w:rsidRPr="0016256F">
        <w:rPr>
          <w:lang w:val="hu-HU"/>
        </w:rPr>
        <w:t>on</w:t>
      </w:r>
      <w:proofErr w:type="spellEnd"/>
      <w:r w:rsidRPr="0016256F">
        <w:rPr>
          <w:lang w:val="hu-HU"/>
        </w:rPr>
        <w:t xml:space="preserve">, is </w:t>
      </w:r>
      <w:proofErr w:type="spellStart"/>
      <w:r w:rsidRPr="0016256F">
        <w:rPr>
          <w:lang w:val="hu-HU"/>
        </w:rPr>
        <w:t>correct</w:t>
      </w:r>
      <w:proofErr w:type="spellEnd"/>
      <w:r>
        <w:rPr>
          <w:lang w:val="hu-HU"/>
        </w:rPr>
        <w:t xml:space="preserve">, </w:t>
      </w:r>
      <w:proofErr w:type="spellStart"/>
      <w:r w:rsidRPr="0016256F">
        <w:rPr>
          <w:lang w:val="hu-HU"/>
        </w:rPr>
        <w:t>even</w:t>
      </w:r>
      <w:proofErr w:type="spellEnd"/>
      <w:r w:rsidRPr="0016256F">
        <w:rPr>
          <w:lang w:val="hu-HU"/>
        </w:rPr>
        <w:t xml:space="preserve"> </w:t>
      </w:r>
      <w:proofErr w:type="spellStart"/>
      <w:r w:rsidRPr="0016256F">
        <w:rPr>
          <w:lang w:val="hu-HU"/>
        </w:rPr>
        <w:t>then</w:t>
      </w:r>
      <w:proofErr w:type="spellEnd"/>
      <w:r w:rsidRPr="0016256F">
        <w:rPr>
          <w:lang w:val="hu-HU"/>
        </w:rPr>
        <w:t xml:space="preserve"> </w:t>
      </w:r>
      <w:proofErr w:type="spellStart"/>
      <w:r w:rsidRPr="0016256F">
        <w:rPr>
          <w:lang w:val="hu-HU"/>
        </w:rPr>
        <w:t>the</w:t>
      </w:r>
      <w:proofErr w:type="spellEnd"/>
      <w:r w:rsidRPr="0016256F">
        <w:rPr>
          <w:lang w:val="hu-HU"/>
        </w:rPr>
        <w:t xml:space="preserve"> </w:t>
      </w:r>
      <w:proofErr w:type="spellStart"/>
      <w:r w:rsidRPr="0016256F">
        <w:rPr>
          <w:lang w:val="hu-HU"/>
        </w:rPr>
        <w:t>data</w:t>
      </w:r>
      <w:proofErr w:type="spellEnd"/>
      <w:r w:rsidRPr="0016256F">
        <w:rPr>
          <w:lang w:val="hu-HU"/>
        </w:rPr>
        <w:t xml:space="preserve"> and </w:t>
      </w:r>
      <w:proofErr w:type="spellStart"/>
      <w:r w:rsidRPr="0016256F">
        <w:rPr>
          <w:lang w:val="hu-HU"/>
        </w:rPr>
        <w:t>its</w:t>
      </w:r>
      <w:proofErr w:type="spellEnd"/>
      <w:r w:rsidRPr="0016256F">
        <w:rPr>
          <w:lang w:val="hu-HU"/>
        </w:rPr>
        <w:t xml:space="preserve"> display </w:t>
      </w:r>
      <w:proofErr w:type="spellStart"/>
      <w:r w:rsidRPr="0016256F">
        <w:rPr>
          <w:lang w:val="hu-HU"/>
        </w:rPr>
        <w:t>might</w:t>
      </w:r>
      <w:proofErr w:type="spellEnd"/>
      <w:r w:rsidRPr="0016256F">
        <w:rPr>
          <w:lang w:val="hu-HU"/>
        </w:rPr>
        <w:t xml:space="preserve"> </w:t>
      </w:r>
      <w:proofErr w:type="spellStart"/>
      <w:r w:rsidRPr="0016256F">
        <w:rPr>
          <w:lang w:val="hu-HU"/>
        </w:rPr>
        <w:t>have</w:t>
      </w:r>
      <w:proofErr w:type="spellEnd"/>
      <w:r w:rsidRPr="0016256F">
        <w:rPr>
          <w:lang w:val="hu-HU"/>
        </w:rPr>
        <w:t xml:space="preserve"> </w:t>
      </w:r>
      <w:proofErr w:type="spellStart"/>
      <w:r w:rsidRPr="0016256F">
        <w:rPr>
          <w:lang w:val="hu-HU"/>
        </w:rPr>
        <w:t>flaws</w:t>
      </w:r>
      <w:proofErr w:type="spellEnd"/>
      <w:r w:rsidRPr="0016256F">
        <w:rPr>
          <w:lang w:val="hu-HU"/>
        </w:rPr>
        <w:t xml:space="preserve"> </w:t>
      </w:r>
      <w:proofErr w:type="spellStart"/>
      <w:r w:rsidRPr="0016256F">
        <w:rPr>
          <w:lang w:val="hu-HU"/>
        </w:rPr>
        <w:t>due</w:t>
      </w:r>
      <w:proofErr w:type="spellEnd"/>
      <w:r w:rsidRPr="0016256F">
        <w:rPr>
          <w:lang w:val="hu-HU"/>
        </w:rPr>
        <w:t xml:space="preserve"> </w:t>
      </w:r>
      <w:proofErr w:type="spellStart"/>
      <w:r w:rsidRPr="0016256F">
        <w:rPr>
          <w:lang w:val="hu-HU"/>
        </w:rPr>
        <w:t>to</w:t>
      </w:r>
      <w:proofErr w:type="spellEnd"/>
      <w:r w:rsidRPr="0016256F">
        <w:rPr>
          <w:lang w:val="hu-HU"/>
        </w:rPr>
        <w:t xml:space="preserve"> </w:t>
      </w:r>
      <w:proofErr w:type="spellStart"/>
      <w:r w:rsidRPr="0016256F">
        <w:rPr>
          <w:lang w:val="hu-HU"/>
        </w:rPr>
        <w:t>several</w:t>
      </w:r>
      <w:proofErr w:type="spellEnd"/>
      <w:r w:rsidRPr="0016256F">
        <w:rPr>
          <w:lang w:val="hu-HU"/>
        </w:rPr>
        <w:t xml:space="preserve"> </w:t>
      </w:r>
      <w:proofErr w:type="spellStart"/>
      <w:r w:rsidRPr="0016256F">
        <w:rPr>
          <w:lang w:val="hu-HU"/>
        </w:rPr>
        <w:t>reasons</w:t>
      </w:r>
      <w:proofErr w:type="spellEnd"/>
      <w:r w:rsidRPr="0016256F">
        <w:rPr>
          <w:lang w:val="hu-HU"/>
        </w:rPr>
        <w:t xml:space="preserve">: </w:t>
      </w:r>
      <w:proofErr w:type="spellStart"/>
      <w:r w:rsidRPr="0016256F">
        <w:rPr>
          <w:lang w:val="hu-HU"/>
        </w:rPr>
        <w:t>trustability</w:t>
      </w:r>
      <w:proofErr w:type="spellEnd"/>
      <w:r w:rsidRPr="0016256F">
        <w:rPr>
          <w:lang w:val="hu-HU"/>
        </w:rPr>
        <w:t xml:space="preserve"> of </w:t>
      </w:r>
      <w:proofErr w:type="spellStart"/>
      <w:r w:rsidRPr="0016256F">
        <w:rPr>
          <w:lang w:val="hu-HU"/>
        </w:rPr>
        <w:t>the</w:t>
      </w:r>
      <w:proofErr w:type="spellEnd"/>
      <w:r w:rsidRPr="0016256F">
        <w:rPr>
          <w:lang w:val="hu-HU"/>
        </w:rPr>
        <w:t xml:space="preserve"> </w:t>
      </w:r>
      <w:proofErr w:type="spellStart"/>
      <w:r w:rsidRPr="0016256F">
        <w:rPr>
          <w:lang w:val="hu-HU"/>
        </w:rPr>
        <w:t>data</w:t>
      </w:r>
      <w:proofErr w:type="spellEnd"/>
      <w:r w:rsidRPr="0016256F">
        <w:rPr>
          <w:lang w:val="hu-HU"/>
        </w:rPr>
        <w:t xml:space="preserve"> </w:t>
      </w:r>
      <w:proofErr w:type="spellStart"/>
      <w:r w:rsidRPr="0016256F">
        <w:rPr>
          <w:lang w:val="hu-HU"/>
        </w:rPr>
        <w:t>collection</w:t>
      </w:r>
      <w:proofErr w:type="spellEnd"/>
      <w:r w:rsidRPr="0016256F">
        <w:rPr>
          <w:lang w:val="hu-HU"/>
        </w:rPr>
        <w:t xml:space="preserve"> </w:t>
      </w:r>
      <w:proofErr w:type="spellStart"/>
      <w:r w:rsidRPr="0016256F">
        <w:rPr>
          <w:lang w:val="hu-HU"/>
        </w:rPr>
        <w:t>devices</w:t>
      </w:r>
      <w:proofErr w:type="spellEnd"/>
      <w:r>
        <w:rPr>
          <w:lang w:val="hu-HU"/>
        </w:rPr>
        <w:t xml:space="preserve"> and </w:t>
      </w:r>
      <w:proofErr w:type="spellStart"/>
      <w:r>
        <w:rPr>
          <w:lang w:val="hu-HU"/>
        </w:rPr>
        <w:t>methods</w:t>
      </w:r>
      <w:proofErr w:type="spellEnd"/>
      <w:r w:rsidRPr="0016256F">
        <w:rPr>
          <w:lang w:val="hu-HU"/>
        </w:rPr>
        <w:t xml:space="preserve">, </w:t>
      </w:r>
      <w:proofErr w:type="spellStart"/>
      <w:r w:rsidRPr="0016256F">
        <w:rPr>
          <w:lang w:val="hu-HU"/>
        </w:rPr>
        <w:t>the</w:t>
      </w:r>
      <w:proofErr w:type="spellEnd"/>
      <w:r w:rsidRPr="0016256F">
        <w:rPr>
          <w:lang w:val="hu-HU"/>
        </w:rPr>
        <w:t xml:space="preserve"> </w:t>
      </w:r>
      <w:proofErr w:type="spellStart"/>
      <w:r w:rsidRPr="0016256F">
        <w:rPr>
          <w:lang w:val="hu-HU"/>
        </w:rPr>
        <w:t>competence</w:t>
      </w:r>
      <w:proofErr w:type="spellEnd"/>
      <w:r w:rsidRPr="0016256F">
        <w:rPr>
          <w:lang w:val="hu-HU"/>
        </w:rPr>
        <w:t xml:space="preserve"> of </w:t>
      </w:r>
      <w:proofErr w:type="spellStart"/>
      <w:r w:rsidRPr="0016256F">
        <w:rPr>
          <w:lang w:val="hu-HU"/>
        </w:rPr>
        <w:t>the</w:t>
      </w:r>
      <w:proofErr w:type="spellEnd"/>
      <w:r w:rsidRPr="0016256F">
        <w:rPr>
          <w:lang w:val="hu-HU"/>
        </w:rPr>
        <w:t xml:space="preserve"> </w:t>
      </w:r>
      <w:proofErr w:type="spellStart"/>
      <w:r w:rsidRPr="0016256F">
        <w:rPr>
          <w:lang w:val="hu-HU"/>
        </w:rPr>
        <w:t>professional</w:t>
      </w:r>
      <w:proofErr w:type="spellEnd"/>
      <w:r w:rsidRPr="0016256F">
        <w:rPr>
          <w:lang w:val="hu-HU"/>
        </w:rPr>
        <w:t xml:space="preserve">(s) </w:t>
      </w:r>
      <w:proofErr w:type="spellStart"/>
      <w:r w:rsidRPr="0016256F">
        <w:rPr>
          <w:lang w:val="hu-HU"/>
        </w:rPr>
        <w:t>who</w:t>
      </w:r>
      <w:proofErr w:type="spellEnd"/>
      <w:r w:rsidRPr="0016256F">
        <w:rPr>
          <w:lang w:val="hu-HU"/>
        </w:rPr>
        <w:t xml:space="preserve"> </w:t>
      </w:r>
      <w:proofErr w:type="spellStart"/>
      <w:r w:rsidRPr="0016256F">
        <w:rPr>
          <w:lang w:val="hu-HU"/>
        </w:rPr>
        <w:t>processed</w:t>
      </w:r>
      <w:proofErr w:type="spellEnd"/>
      <w:r w:rsidRPr="0016256F">
        <w:rPr>
          <w:lang w:val="hu-HU"/>
        </w:rPr>
        <w:t xml:space="preserve"> </w:t>
      </w:r>
      <w:proofErr w:type="spellStart"/>
      <w:r w:rsidRPr="0016256F">
        <w:rPr>
          <w:lang w:val="hu-HU"/>
        </w:rPr>
        <w:t>the</w:t>
      </w:r>
      <w:proofErr w:type="spellEnd"/>
      <w:r w:rsidRPr="0016256F">
        <w:rPr>
          <w:lang w:val="hu-HU"/>
        </w:rPr>
        <w:t xml:space="preserve"> </w:t>
      </w:r>
      <w:proofErr w:type="spellStart"/>
      <w:r w:rsidRPr="0016256F">
        <w:rPr>
          <w:lang w:val="hu-HU"/>
        </w:rPr>
        <w:t>data</w:t>
      </w:r>
      <w:proofErr w:type="spellEnd"/>
      <w:r w:rsidRPr="0016256F">
        <w:rPr>
          <w:lang w:val="hu-HU"/>
        </w:rPr>
        <w:t xml:space="preserve">, and </w:t>
      </w:r>
      <w:proofErr w:type="spellStart"/>
      <w:r w:rsidRPr="0016256F">
        <w:rPr>
          <w:lang w:val="hu-HU"/>
        </w:rPr>
        <w:t>so</w:t>
      </w:r>
      <w:proofErr w:type="spellEnd"/>
      <w:r w:rsidRPr="0016256F">
        <w:rPr>
          <w:lang w:val="hu-HU"/>
        </w:rPr>
        <w:t xml:space="preserve"> </w:t>
      </w:r>
      <w:proofErr w:type="spellStart"/>
      <w:r w:rsidRPr="0016256F">
        <w:rPr>
          <w:lang w:val="hu-HU"/>
        </w:rPr>
        <w:t>on</w:t>
      </w:r>
      <w:proofErr w:type="spellEnd"/>
      <w:r w:rsidRPr="0016256F">
        <w:rPr>
          <w:lang w:val="hu-HU"/>
        </w:rPr>
        <w:t xml:space="preserve">. </w:t>
      </w:r>
    </w:p>
    <w:p w14:paraId="7104725F" w14:textId="77777777" w:rsidR="00AA0DE4" w:rsidRPr="0053088D" w:rsidRDefault="00AA0DE4" w:rsidP="00AA0DE4">
      <w:pPr>
        <w:jc w:val="both"/>
        <w:rPr>
          <w:rFonts w:ascii="Calibri" w:hAnsi="Calibri" w:cs="Calibri"/>
          <w:b/>
          <w:bCs/>
        </w:rPr>
      </w:pPr>
      <w:r w:rsidRPr="0053088D">
        <w:rPr>
          <w:rFonts w:ascii="Calibri" w:hAnsi="Calibri" w:cs="Calibri"/>
          <w:b/>
          <w:bCs/>
        </w:rPr>
        <w:t>Slide 27: Data Interpretation and Trust</w:t>
      </w:r>
    </w:p>
    <w:p w14:paraId="52A49DF2" w14:textId="77777777" w:rsidR="00AA0DE4" w:rsidRPr="00F733A2" w:rsidRDefault="00AA0DE4" w:rsidP="00AA0DE4">
      <w:pPr>
        <w:jc w:val="both"/>
        <w:rPr>
          <w:rFonts w:ascii="Calibri" w:hAnsi="Calibri" w:cs="Calibri"/>
        </w:rPr>
      </w:pPr>
      <w:r w:rsidRPr="00F733A2">
        <w:rPr>
          <w:rFonts w:ascii="Calibri" w:hAnsi="Calibri" w:cs="Calibri"/>
        </w:rPr>
        <w:t xml:space="preserve">On this slide you will see not only data can cheat us, but we can cheat ourselves too when interpreting data. </w:t>
      </w:r>
    </w:p>
    <w:p w14:paraId="104C3B70" w14:textId="77777777" w:rsidR="00AA0DE4" w:rsidRPr="0062514D" w:rsidRDefault="00AA0DE4" w:rsidP="00AA0DE4">
      <w:pPr>
        <w:jc w:val="both"/>
        <w:rPr>
          <w:rFonts w:ascii="Calibri" w:hAnsi="Calibri" w:cs="Calibri"/>
        </w:rPr>
      </w:pPr>
      <w:r w:rsidRPr="00F733A2">
        <w:rPr>
          <w:rFonts w:ascii="Calibri" w:hAnsi="Calibri" w:cs="Calibri"/>
        </w:rPr>
        <w:t xml:space="preserve">By this point of the </w:t>
      </w:r>
      <w:proofErr w:type="gramStart"/>
      <w:r w:rsidRPr="00F733A2">
        <w:rPr>
          <w:rFonts w:ascii="Calibri" w:hAnsi="Calibri" w:cs="Calibri"/>
        </w:rPr>
        <w:t>lecture</w:t>
      </w:r>
      <w:proofErr w:type="gramEnd"/>
      <w:r w:rsidRPr="00F733A2">
        <w:rPr>
          <w:rFonts w:ascii="Calibri" w:hAnsi="Calibri" w:cs="Calibri"/>
        </w:rPr>
        <w:t xml:space="preserve"> you might have the feeling that you cannot trust data at all. However, we encourage you to use data for evidence-based healthcare, as this is the only way for quality health services. However, always ask yourself the question: Did I take all the necessary steps to make sure that the data and information I have supports me in making the right decisions?</w:t>
      </w:r>
    </w:p>
    <w:p w14:paraId="5790E817" w14:textId="77777777" w:rsidR="00AA0DE4" w:rsidRPr="0053088D" w:rsidRDefault="00AA0DE4" w:rsidP="00AA0DE4">
      <w:pPr>
        <w:jc w:val="both"/>
        <w:rPr>
          <w:rFonts w:ascii="Calibri" w:hAnsi="Calibri" w:cs="Calibri"/>
          <w:b/>
          <w:bCs/>
        </w:rPr>
      </w:pPr>
      <w:r w:rsidRPr="0053088D">
        <w:rPr>
          <w:rFonts w:ascii="Calibri" w:hAnsi="Calibri" w:cs="Calibri"/>
          <w:b/>
          <w:bCs/>
        </w:rPr>
        <w:t>Slide 28: Conclusion</w:t>
      </w:r>
    </w:p>
    <w:p w14:paraId="6D24A13B" w14:textId="77777777" w:rsidR="00AA0DE4" w:rsidRPr="0062514D" w:rsidRDefault="00AA0DE4" w:rsidP="00AA0DE4">
      <w:pPr>
        <w:jc w:val="both"/>
        <w:rPr>
          <w:rFonts w:ascii="Calibri" w:hAnsi="Calibri" w:cs="Calibri"/>
        </w:rPr>
      </w:pPr>
      <w:r w:rsidRPr="0062514D">
        <w:rPr>
          <w:rFonts w:ascii="Calibri" w:hAnsi="Calibri" w:cs="Calibri"/>
        </w:rPr>
        <w:t>In this module, we’ve covered the essential aspects of handling healthcare data responsibly, from understanding data types and adhering to privacy regulations to presenting data effectively. Remember, the way you handle data directly impacts patient care and trust. Always approach data management with caution and a commitment to ethical practices.</w:t>
      </w:r>
    </w:p>
    <w:p w14:paraId="314A3D56" w14:textId="77777777" w:rsidR="00AA0DE4" w:rsidRPr="0062514D" w:rsidRDefault="00AA0DE4" w:rsidP="00AA0DE4">
      <w:pPr>
        <w:jc w:val="both"/>
        <w:rPr>
          <w:rFonts w:ascii="Calibri" w:hAnsi="Calibri" w:cs="Calibri"/>
        </w:rPr>
      </w:pPr>
    </w:p>
    <w:p w14:paraId="3A88FA5D" w14:textId="2FBD1116" w:rsidR="00F105EE" w:rsidRPr="00AA0DE4" w:rsidRDefault="00F105EE" w:rsidP="00AA0DE4"/>
    <w:sectPr w:rsidR="00F105EE" w:rsidRPr="00AA0DE4"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FFCFD" w14:textId="77777777" w:rsidR="00677100" w:rsidRDefault="00677100" w:rsidP="00CA38A2">
      <w:pPr>
        <w:spacing w:after="0" w:line="240" w:lineRule="auto"/>
      </w:pPr>
      <w:r>
        <w:separator/>
      </w:r>
    </w:p>
  </w:endnote>
  <w:endnote w:type="continuationSeparator" w:id="0">
    <w:p w14:paraId="596A36C3" w14:textId="77777777" w:rsidR="00677100" w:rsidRDefault="0067710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A751A" w14:textId="77777777" w:rsidR="00677100" w:rsidRDefault="00677100" w:rsidP="00CA38A2">
      <w:pPr>
        <w:spacing w:after="0" w:line="240" w:lineRule="auto"/>
      </w:pPr>
      <w:r>
        <w:separator/>
      </w:r>
    </w:p>
  </w:footnote>
  <w:footnote w:type="continuationSeparator" w:id="0">
    <w:p w14:paraId="4E575E7F" w14:textId="77777777" w:rsidR="00677100" w:rsidRDefault="0067710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5815CF"/>
    <w:multiLevelType w:val="hybridMultilevel"/>
    <w:tmpl w:val="D494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0D5683"/>
    <w:multiLevelType w:val="hybridMultilevel"/>
    <w:tmpl w:val="34E48F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5"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7"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5"/>
  </w:num>
  <w:num w:numId="4" w16cid:durableId="53161785">
    <w:abstractNumId w:val="18"/>
  </w:num>
  <w:num w:numId="5" w16cid:durableId="1515001117">
    <w:abstractNumId w:val="8"/>
  </w:num>
  <w:num w:numId="6" w16cid:durableId="325329681">
    <w:abstractNumId w:val="1"/>
  </w:num>
  <w:num w:numId="7" w16cid:durableId="564606079">
    <w:abstractNumId w:val="15"/>
  </w:num>
  <w:num w:numId="8" w16cid:durableId="360790641">
    <w:abstractNumId w:val="17"/>
  </w:num>
  <w:num w:numId="9" w16cid:durableId="975840892">
    <w:abstractNumId w:val="12"/>
  </w:num>
  <w:num w:numId="10" w16cid:durableId="167060576">
    <w:abstractNumId w:val="7"/>
  </w:num>
  <w:num w:numId="11" w16cid:durableId="1155075287">
    <w:abstractNumId w:val="16"/>
  </w:num>
  <w:num w:numId="12" w16cid:durableId="187456256">
    <w:abstractNumId w:val="0"/>
  </w:num>
  <w:num w:numId="13" w16cid:durableId="481384423">
    <w:abstractNumId w:val="2"/>
  </w:num>
  <w:num w:numId="14" w16cid:durableId="1718702920">
    <w:abstractNumId w:val="6"/>
  </w:num>
  <w:num w:numId="15" w16cid:durableId="698316277">
    <w:abstractNumId w:val="14"/>
  </w:num>
  <w:num w:numId="16" w16cid:durableId="645203414">
    <w:abstractNumId w:val="3"/>
  </w:num>
  <w:num w:numId="17" w16cid:durableId="1977441824">
    <w:abstractNumId w:val="13"/>
  </w:num>
  <w:num w:numId="18" w16cid:durableId="1939681328">
    <w:abstractNumId w:val="11"/>
  </w:num>
  <w:num w:numId="19" w16cid:durableId="198130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05CF1"/>
    <w:rsid w:val="001134A0"/>
    <w:rsid w:val="001809D0"/>
    <w:rsid w:val="001A14BC"/>
    <w:rsid w:val="001E4F54"/>
    <w:rsid w:val="0023017F"/>
    <w:rsid w:val="00252B92"/>
    <w:rsid w:val="002765E4"/>
    <w:rsid w:val="00285F61"/>
    <w:rsid w:val="002B339F"/>
    <w:rsid w:val="002D5D92"/>
    <w:rsid w:val="002D6AE0"/>
    <w:rsid w:val="002E1500"/>
    <w:rsid w:val="00382711"/>
    <w:rsid w:val="00387E74"/>
    <w:rsid w:val="003B05E4"/>
    <w:rsid w:val="003D2FEB"/>
    <w:rsid w:val="003D5AC4"/>
    <w:rsid w:val="004462FA"/>
    <w:rsid w:val="004A6C95"/>
    <w:rsid w:val="004B0BDE"/>
    <w:rsid w:val="004B4120"/>
    <w:rsid w:val="005563C5"/>
    <w:rsid w:val="00587B68"/>
    <w:rsid w:val="005F435C"/>
    <w:rsid w:val="00603CE2"/>
    <w:rsid w:val="00623C82"/>
    <w:rsid w:val="00630E74"/>
    <w:rsid w:val="006617F5"/>
    <w:rsid w:val="00677100"/>
    <w:rsid w:val="00697E1B"/>
    <w:rsid w:val="006A7026"/>
    <w:rsid w:val="006C2944"/>
    <w:rsid w:val="00722993"/>
    <w:rsid w:val="0074059A"/>
    <w:rsid w:val="00767421"/>
    <w:rsid w:val="007D3023"/>
    <w:rsid w:val="007E050A"/>
    <w:rsid w:val="007F5365"/>
    <w:rsid w:val="0080406E"/>
    <w:rsid w:val="00816451"/>
    <w:rsid w:val="008506A7"/>
    <w:rsid w:val="008749E6"/>
    <w:rsid w:val="00945EF8"/>
    <w:rsid w:val="00973B7D"/>
    <w:rsid w:val="009A3019"/>
    <w:rsid w:val="009C02AC"/>
    <w:rsid w:val="009C535F"/>
    <w:rsid w:val="009F4430"/>
    <w:rsid w:val="00A05203"/>
    <w:rsid w:val="00A227CB"/>
    <w:rsid w:val="00A259BE"/>
    <w:rsid w:val="00A33985"/>
    <w:rsid w:val="00A42C11"/>
    <w:rsid w:val="00A75A68"/>
    <w:rsid w:val="00A9173F"/>
    <w:rsid w:val="00AA0DE4"/>
    <w:rsid w:val="00AB399B"/>
    <w:rsid w:val="00AE6741"/>
    <w:rsid w:val="00B24168"/>
    <w:rsid w:val="00B352CF"/>
    <w:rsid w:val="00B40315"/>
    <w:rsid w:val="00B62A7F"/>
    <w:rsid w:val="00B75090"/>
    <w:rsid w:val="00B91166"/>
    <w:rsid w:val="00BD2BA9"/>
    <w:rsid w:val="00BF7A33"/>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1458</Words>
  <Characters>10064</Characters>
  <Application>Microsoft Office Word</Application>
  <DocSecurity>0</DocSecurity>
  <Lines>83</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2026-04-08T15:54:00Z</dcterms:created>
  <dcterms:modified xsi:type="dcterms:W3CDTF">2026-04-08T15:54:00Z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